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6"/>
          <w:highlight w:val="yellow"/>
        </w:rPr>
        <w:t>[DÉNOMINATION SOCIALE]</w:t>
      </w:r>
    </w:p>
    <w:p>
      <w:pPr>
        <w:spacing w:after="40" w:before="0"/>
        <w:jc w:val="center"/>
      </w:pPr>
      <w:r>
        <w:rPr>
          <w:rFonts w:ascii="Calibri" w:hAnsi="Calibri" w:eastAsia="Calibri"/>
          <w:sz w:val="22"/>
        </w:rPr>
        <w:t xml:space="preserve">Société en nom collectif au capital de </w:t>
      </w:r>
      <w:r>
        <w:rPr>
          <w:rFonts w:ascii="Calibri" w:hAnsi="Calibri" w:eastAsia="Calibri"/>
          <w:sz w:val="22"/>
          <w:highlight w:val="yellow"/>
        </w:rPr>
        <w:t>[montant]</w:t>
      </w:r>
      <w:r>
        <w:rPr>
          <w:rFonts w:ascii="Calibri" w:hAnsi="Calibri" w:eastAsia="Calibri"/>
          <w:sz w:val="22"/>
        </w:rPr>
        <w:t xml:space="preserve"> euros</w:t>
      </w:r>
    </w:p>
    <w:p>
      <w:pPr>
        <w:spacing w:after="320" w:before="0"/>
        <w:jc w:val="center"/>
      </w:pPr>
      <w:r>
        <w:rPr>
          <w:rFonts w:ascii="Calibri" w:hAnsi="Calibri" w:eastAsia="Calibri"/>
          <w:sz w:val="22"/>
        </w:rPr>
        <w:t xml:space="preserve">Siège social : </w:t>
      </w:r>
      <w:r>
        <w:rPr>
          <w:rFonts w:ascii="Calibri" w:hAnsi="Calibri" w:eastAsia="Calibri"/>
          <w:sz w:val="22"/>
          <w:highlight w:val="yellow"/>
        </w:rPr>
        <w:t>[adresse complète]</w:t>
      </w:r>
    </w:p>
    <w:p>
      <w:pPr>
        <w:spacing w:after="40" w:before="0"/>
        <w:jc w:val="center"/>
      </w:pPr>
      <w:r>
        <w:rPr>
          <w:rFonts w:ascii="Calibri" w:hAnsi="Calibri" w:eastAsia="Calibri"/>
          <w:b/>
          <w:sz w:val="32"/>
        </w:rPr>
        <w:t>STATUTS</w:t>
      </w:r>
    </w:p>
    <w:p>
      <w:pPr>
        <w:spacing w:after="280" w:before="0"/>
        <w:jc w:val="center"/>
      </w:pPr>
      <w:r>
        <w:rPr>
          <w:rFonts w:ascii="Calibri" w:hAnsi="Calibri" w:eastAsia="Calibri"/>
          <w:i/>
          <w:sz w:val="22"/>
        </w:rPr>
        <w:t xml:space="preserve">Établis le </w:t>
      </w:r>
      <w:r>
        <w:rPr>
          <w:rFonts w:ascii="Calibri" w:hAnsi="Calibri" w:eastAsia="Calibri"/>
          <w:sz w:val="22"/>
          <w:highlight w:val="yellow"/>
        </w:rPr>
        <w:t>[date de signature]</w:t>
      </w:r>
      <w:r>
        <w:rPr>
          <w:rFonts w:ascii="Calibri" w:hAnsi="Calibri" w:eastAsia="Calibri"/>
          <w:i/>
          <w:sz w:val="22"/>
        </w:rPr>
        <w:t xml:space="preserve"> — </w:t>
      </w:r>
      <w:r>
        <w:rPr>
          <w:rFonts w:ascii="Calibri" w:hAnsi="Calibri" w:eastAsia="Calibri"/>
          <w:sz w:val="22"/>
          <w:highlight w:val="yellow"/>
        </w:rPr>
        <w:t>[mis à jour le …, le cas échéant]</w:t>
      </w:r>
    </w:p>
    <w:p>
      <w:pPr>
        <w:spacing w:after="280" w:before="0"/>
        <w:jc w:val="both"/>
      </w:pPr>
      <w:r>
        <w:rPr>
          <w:rFonts w:ascii="Calibri" w:hAnsi="Calibri" w:eastAsia="Calibri"/>
          <w:b/>
          <w:sz w:val="22"/>
        </w:rPr>
        <w:t xml:space="preserve">Mode d’emploi. </w:t>
      </w:r>
      <w:r>
        <w:rPr>
          <w:rFonts w:ascii="Calibri" w:hAnsi="Calibri" w:eastAsia="Calibri"/>
          <w:i/>
          <w:color w:val="4B5563"/>
          <w:sz w:val="22"/>
        </w:rPr>
        <w:t xml:space="preserve">Base de travail à adapter et à faire relire avant toute signature. Les passages surlignés sont à compléter ; les crochets séparés par « / » proposent des variantes, dont une seule doit être conservée ; les paragraphes marqués « Option » peuvent être supprimés (renumérotez alors les articles). </w:t>
      </w:r>
      <w:r>
        <w:rPr>
          <w:rFonts w:ascii="Calibri" w:hAnsi="Calibri" w:eastAsia="Calibri"/>
          <w:i/>
          <w:color w:val="4B5563"/>
          <w:sz w:val="22"/>
        </w:rPr>
        <w:t xml:space="preserve">Dans une société en nom collectif, chaque associé a la qualité de commerçant et répond indéfiniment et solidairement des dettes sociales : lisez attentivement les notes pratiques avant de signer. </w:t>
      </w:r>
      <w:r>
        <w:rPr>
          <w:rFonts w:ascii="Calibri" w:hAnsi="Calibri" w:eastAsia="Calibri"/>
          <w:i/>
          <w:color w:val="4B5563"/>
          <w:sz w:val="22"/>
        </w:rPr>
        <w:t>Les notes pratiques de la dernière page rappellent les règles à respecter et les formalités : supprimez-les avant signature.</w:t>
      </w:r>
    </w:p>
    <w:p>
      <w:pPr>
        <w:spacing w:after="120" w:before="0"/>
      </w:pPr>
      <w:r>
        <w:rPr>
          <w:rFonts w:ascii="Calibri" w:hAnsi="Calibri" w:eastAsia="Calibri"/>
          <w:b/>
          <w:sz w:val="22"/>
        </w:rPr>
        <w:t>LES SOUSSIGNÉS :</w:t>
      </w:r>
    </w:p>
    <w:p>
      <w:pPr>
        <w:spacing w:after="80" w:before="0"/>
        <w:jc w:val="both"/>
      </w:pPr>
      <w:r>
        <w:rPr>
          <w:rFonts w:ascii="Calibri" w:hAnsi="Calibri" w:eastAsia="Calibri"/>
          <w:b/>
          <w:sz w:val="22"/>
        </w:rPr>
        <w:t xml:space="preserve">1. </w:t>
      </w:r>
      <w:r>
        <w:rPr>
          <w:rFonts w:ascii="Calibri" w:hAnsi="Calibri" w:eastAsia="Calibri"/>
          <w:sz w:val="22"/>
          <w:highlight w:val="yellow"/>
        </w:rPr>
        <w:t>[Madame / Monsieur] [Prénom NOM]</w:t>
      </w:r>
      <w:r>
        <w:rPr>
          <w:rFonts w:ascii="Calibri" w:hAnsi="Calibri" w:eastAsia="Calibri"/>
          <w:sz w:val="22"/>
        </w:rPr>
        <w:t xml:space="preserve">, né(e) le </w:t>
      </w:r>
      <w:r>
        <w:rPr>
          <w:rFonts w:ascii="Calibri" w:hAnsi="Calibri" w:eastAsia="Calibri"/>
          <w:sz w:val="22"/>
          <w:highlight w:val="yellow"/>
        </w:rPr>
        <w:t>[date]</w:t>
      </w:r>
      <w:r>
        <w:rPr>
          <w:rFonts w:ascii="Calibri" w:hAnsi="Calibri" w:eastAsia="Calibri"/>
          <w:sz w:val="22"/>
        </w:rPr>
        <w:t xml:space="preserve"> à </w:t>
      </w:r>
      <w:r>
        <w:rPr>
          <w:rFonts w:ascii="Calibri" w:hAnsi="Calibri" w:eastAsia="Calibri"/>
          <w:sz w:val="22"/>
          <w:highlight w:val="yellow"/>
        </w:rPr>
        <w:t>[lieu]</w:t>
      </w:r>
      <w:r>
        <w:rPr>
          <w:rFonts w:ascii="Calibri" w:hAnsi="Calibri" w:eastAsia="Calibri"/>
          <w:sz w:val="22"/>
        </w:rPr>
        <w:t xml:space="preserve">, de nationalité </w:t>
      </w:r>
      <w:r>
        <w:rPr>
          <w:rFonts w:ascii="Calibri" w:hAnsi="Calibri" w:eastAsia="Calibri"/>
          <w:sz w:val="22"/>
          <w:highlight w:val="yellow"/>
        </w:rPr>
        <w:t>[nationalité]</w:t>
      </w:r>
      <w:r>
        <w:rPr>
          <w:rFonts w:ascii="Calibri" w:hAnsi="Calibri" w:eastAsia="Calibri"/>
          <w:sz w:val="22"/>
        </w:rPr>
        <w:t xml:space="preserve">, demeurant </w:t>
      </w:r>
      <w:r>
        <w:rPr>
          <w:rFonts w:ascii="Calibri" w:hAnsi="Calibri" w:eastAsia="Calibri"/>
          <w:sz w:val="22"/>
          <w:highlight w:val="yellow"/>
        </w:rPr>
        <w:t>[adresse complète]</w:t>
      </w:r>
      <w:r>
        <w:rPr>
          <w:rFonts w:ascii="Calibri" w:hAnsi="Calibri" w:eastAsia="Calibri"/>
          <w:sz w:val="22"/>
        </w:rPr>
        <w:t xml:space="preserve">, </w:t>
      </w:r>
      <w:r>
        <w:rPr>
          <w:rFonts w:ascii="Calibri" w:hAnsi="Calibri" w:eastAsia="Calibri"/>
          <w:sz w:val="22"/>
          <w:highlight w:val="yellow"/>
        </w:rPr>
        <w:t>[célibataire / marié(e) le … à … sous le régime de … / lié(e) par un pacte civil de solidarité]</w:t>
      </w:r>
      <w:r>
        <w:rPr>
          <w:rFonts w:ascii="Calibri" w:hAnsi="Calibri" w:eastAsia="Calibri"/>
          <w:sz w:val="22"/>
        </w:rPr>
        <w:t xml:space="preserve"> ;</w:t>
      </w:r>
    </w:p>
    <w:p>
      <w:pPr>
        <w:spacing w:after="80" w:before="0"/>
        <w:jc w:val="both"/>
      </w:pPr>
      <w:r>
        <w:rPr>
          <w:rFonts w:ascii="Calibri" w:hAnsi="Calibri" w:eastAsia="Calibri"/>
          <w:b/>
          <w:sz w:val="22"/>
        </w:rPr>
        <w:t xml:space="preserve">2. </w:t>
      </w:r>
      <w:r>
        <w:rPr>
          <w:rFonts w:ascii="Calibri" w:hAnsi="Calibri" w:eastAsia="Calibri"/>
          <w:sz w:val="22"/>
          <w:highlight w:val="yellow"/>
        </w:rPr>
        <w:t>[Madame / Monsieur] [Prénom NOM]</w:t>
      </w:r>
      <w:r>
        <w:rPr>
          <w:rFonts w:ascii="Calibri" w:hAnsi="Calibri" w:eastAsia="Calibri"/>
          <w:sz w:val="22"/>
        </w:rPr>
        <w:t xml:space="preserve">, né(e) le </w:t>
      </w:r>
      <w:r>
        <w:rPr>
          <w:rFonts w:ascii="Calibri" w:hAnsi="Calibri" w:eastAsia="Calibri"/>
          <w:sz w:val="22"/>
          <w:highlight w:val="yellow"/>
        </w:rPr>
        <w:t>[date]</w:t>
      </w:r>
      <w:r>
        <w:rPr>
          <w:rFonts w:ascii="Calibri" w:hAnsi="Calibri" w:eastAsia="Calibri"/>
          <w:sz w:val="22"/>
        </w:rPr>
        <w:t xml:space="preserve"> à </w:t>
      </w:r>
      <w:r>
        <w:rPr>
          <w:rFonts w:ascii="Calibri" w:hAnsi="Calibri" w:eastAsia="Calibri"/>
          <w:sz w:val="22"/>
          <w:highlight w:val="yellow"/>
        </w:rPr>
        <w:t>[lieu]</w:t>
      </w:r>
      <w:r>
        <w:rPr>
          <w:rFonts w:ascii="Calibri" w:hAnsi="Calibri" w:eastAsia="Calibri"/>
          <w:sz w:val="22"/>
        </w:rPr>
        <w:t xml:space="preserve">, de nationalité </w:t>
      </w:r>
      <w:r>
        <w:rPr>
          <w:rFonts w:ascii="Calibri" w:hAnsi="Calibri" w:eastAsia="Calibri"/>
          <w:sz w:val="22"/>
          <w:highlight w:val="yellow"/>
        </w:rPr>
        <w:t>[nationalité]</w:t>
      </w:r>
      <w:r>
        <w:rPr>
          <w:rFonts w:ascii="Calibri" w:hAnsi="Calibri" w:eastAsia="Calibri"/>
          <w:sz w:val="22"/>
        </w:rPr>
        <w:t xml:space="preserve">, demeurant </w:t>
      </w:r>
      <w:r>
        <w:rPr>
          <w:rFonts w:ascii="Calibri" w:hAnsi="Calibri" w:eastAsia="Calibri"/>
          <w:sz w:val="22"/>
          <w:highlight w:val="yellow"/>
        </w:rPr>
        <w:t>[adresse complète]</w:t>
      </w:r>
      <w:r>
        <w:rPr>
          <w:rFonts w:ascii="Calibri" w:hAnsi="Calibri" w:eastAsia="Calibri"/>
          <w:sz w:val="22"/>
        </w:rPr>
        <w:t xml:space="preserve">, </w:t>
      </w:r>
      <w:r>
        <w:rPr>
          <w:rFonts w:ascii="Calibri" w:hAnsi="Calibri" w:eastAsia="Calibri"/>
          <w:sz w:val="22"/>
          <w:highlight w:val="yellow"/>
        </w:rPr>
        <w:t>[célibataire / marié(e) le … à … sous le régime de … / lié(e) par un pacte civil de solidarité]</w:t>
      </w:r>
      <w:r>
        <w:rPr>
          <w:rFonts w:ascii="Calibri" w:hAnsi="Calibri" w:eastAsia="Calibri"/>
          <w:sz w:val="22"/>
        </w:rPr>
        <w:t xml:space="preserve"> ;</w:t>
      </w:r>
    </w:p>
    <w:p>
      <w:pPr>
        <w:spacing w:after="120" w:before="0"/>
        <w:jc w:val="both"/>
      </w:pPr>
      <w:r>
        <w:rPr>
          <w:rFonts w:ascii="Calibri" w:hAnsi="Calibri" w:eastAsia="Calibri"/>
          <w:sz w:val="22"/>
          <w:highlight w:val="yellow"/>
        </w:rPr>
        <w:t>[Ajouter un paragraphe par associé ; un associé peut être une personne morale.]</w:t>
      </w:r>
    </w:p>
    <w:p>
      <w:pPr>
        <w:spacing w:after="80" w:before="0"/>
        <w:jc w:val="both"/>
      </w:pPr>
      <w:r>
        <w:rPr>
          <w:rFonts w:ascii="Calibri" w:hAnsi="Calibri" w:eastAsia="Calibri"/>
          <w:sz w:val="22"/>
        </w:rPr>
        <w:t>ci-après ensemble dénommés « les Associés »,</w:t>
      </w:r>
    </w:p>
    <w:p>
      <w:pPr>
        <w:spacing w:after="160" w:before="0"/>
        <w:jc w:val="both"/>
      </w:pPr>
      <w:r>
        <w:rPr>
          <w:rFonts w:ascii="Calibri" w:hAnsi="Calibri" w:eastAsia="Calibri"/>
          <w:sz w:val="22"/>
        </w:rPr>
        <w:t>ont établi ainsi qu’il suit les statuts de la société en nom collectif qu’ils sont convenus de constituer entre eux.</w:t>
      </w:r>
    </w:p>
    <w:p>
      <w:pPr>
        <w:keepNext/>
        <w:spacing w:after="160" w:before="240"/>
        <w:jc w:val="center"/>
      </w:pPr>
      <w:r>
        <w:rPr>
          <w:rFonts w:ascii="Calibri" w:hAnsi="Calibri" w:eastAsia="Calibri"/>
          <w:b/>
          <w:sz w:val="23"/>
        </w:rPr>
        <w:t>TITRE I — FORME — OBJET — DÉNOMINATION — SIÈGE — DURÉE</w:t>
      </w:r>
    </w:p>
    <w:p>
      <w:pPr>
        <w:keepNext/>
        <w:spacing w:after="80" w:before="120"/>
      </w:pPr>
      <w:r>
        <w:rPr>
          <w:rFonts w:ascii="Calibri" w:hAnsi="Calibri" w:eastAsia="Calibri"/>
          <w:b/>
          <w:sz w:val="22"/>
        </w:rPr>
        <w:t>Article 1 — Forme — Responsabilité des associés</w:t>
      </w:r>
    </w:p>
    <w:p>
      <w:pPr>
        <w:spacing w:after="120" w:before="0"/>
        <w:jc w:val="both"/>
      </w:pPr>
      <w:r>
        <w:rPr>
          <w:rFonts w:ascii="Calibri" w:hAnsi="Calibri" w:eastAsia="Calibri"/>
          <w:sz w:val="22"/>
        </w:rPr>
        <w:t>Il est formé entre les soussignés une société en nom collectif régie par les articles L. 221-1 et suivants du code de commerce, par les autres dispositions légales et réglementaires en vigueur et par les présents statuts.</w:t>
      </w:r>
    </w:p>
    <w:p>
      <w:pPr>
        <w:spacing w:after="120" w:before="0"/>
        <w:jc w:val="both"/>
      </w:pPr>
      <w:r>
        <w:rPr>
          <w:rFonts w:ascii="Calibri" w:hAnsi="Calibri" w:eastAsia="Calibri"/>
          <w:sz w:val="22"/>
        </w:rPr>
        <w:t>Les associés ont tous la qualité de commerçant et répondent indéfiniment et solidairement des dettes sociales. Les créanciers de la société ne peuvent poursuivre le paiement des dettes sociales contre un associé qu’après avoir vainement mis en demeure la société par acte extrajudiciaire.</w:t>
      </w:r>
    </w:p>
    <w:p>
      <w:pPr>
        <w:keepNext/>
        <w:spacing w:after="80" w:before="120"/>
      </w:pPr>
      <w:r>
        <w:rPr>
          <w:rFonts w:ascii="Calibri" w:hAnsi="Calibri" w:eastAsia="Calibri"/>
          <w:b/>
          <w:sz w:val="22"/>
        </w:rPr>
        <w:t>Article 2 — Objet</w:t>
      </w:r>
    </w:p>
    <w:p>
      <w:pPr>
        <w:spacing w:after="120" w:before="0"/>
        <w:jc w:val="both"/>
      </w:pPr>
      <w:r>
        <w:rPr>
          <w:rFonts w:ascii="Calibri" w:hAnsi="Calibri" w:eastAsia="Calibri"/>
          <w:sz w:val="22"/>
        </w:rPr>
        <w:t>La société a pour objet, en France et à l’étranger :</w:t>
      </w:r>
    </w:p>
    <w:p>
      <w:pPr>
        <w:spacing w:after="60" w:before="0"/>
        <w:jc w:val="both"/>
      </w:pPr>
      <w:r>
        <w:rPr>
          <w:rFonts w:ascii="Calibri" w:hAnsi="Calibri" w:eastAsia="Calibri"/>
          <w:sz w:val="22"/>
        </w:rPr>
        <w:t xml:space="preserve">– </w:t>
      </w:r>
      <w:r>
        <w:rPr>
          <w:rFonts w:ascii="Calibri" w:hAnsi="Calibri" w:eastAsia="Calibri"/>
          <w:sz w:val="22"/>
          <w:highlight w:val="yellow"/>
        </w:rPr>
        <w:t>[décrire précisément l’activité principale]</w:t>
      </w:r>
      <w:r>
        <w:rPr>
          <w:rFonts w:ascii="Calibri" w:hAnsi="Calibri" w:eastAsia="Calibri"/>
          <w:sz w:val="22"/>
        </w:rPr>
        <w:t xml:space="preserve"> ;</w:t>
      </w:r>
    </w:p>
    <w:p>
      <w:pPr>
        <w:spacing w:after="60" w:before="0"/>
        <w:jc w:val="both"/>
      </w:pPr>
      <w:r>
        <w:rPr>
          <w:rFonts w:ascii="Calibri" w:hAnsi="Calibri" w:eastAsia="Calibri"/>
          <w:sz w:val="22"/>
        </w:rPr>
        <w:t xml:space="preserve">– </w:t>
      </w:r>
      <w:r>
        <w:rPr>
          <w:rFonts w:ascii="Calibri" w:hAnsi="Calibri" w:eastAsia="Calibri"/>
          <w:sz w:val="22"/>
          <w:highlight w:val="yellow"/>
        </w:rPr>
        <w:t>[activités annexes ou complémentaires, le cas échéant]</w:t>
      </w:r>
      <w:r>
        <w:rPr>
          <w:rFonts w:ascii="Calibri" w:hAnsi="Calibri" w:eastAsia="Calibri"/>
          <w:sz w:val="22"/>
        </w:rPr>
        <w:t xml:space="preserve"> ;</w:t>
      </w:r>
    </w:p>
    <w:p>
      <w:pPr>
        <w:spacing w:after="120" w:before="0"/>
        <w:jc w:val="both"/>
      </w:pPr>
      <w:r>
        <w:rPr>
          <w:rFonts w:ascii="Calibri" w:hAnsi="Calibri" w:eastAsia="Calibri"/>
          <w:sz w:val="22"/>
        </w:rPr>
        <w:t>et, plus généralement, toutes opérations industrielles, commerciales, financières, civiles, mobilières ou immobilières pouvant se rattacher directement ou indirectement à l’objet social ou à tout objet similaire ou connexe, de nature à en favoriser la réalisation ou le développement.</w:t>
      </w:r>
    </w:p>
    <w:p>
      <w:pPr>
        <w:spacing w:after="120" w:before="0"/>
        <w:jc w:val="both"/>
      </w:pPr>
      <w:r>
        <w:rPr>
          <w:rFonts w:ascii="Calibri" w:hAnsi="Calibri" w:eastAsia="Calibri"/>
          <w:b/>
          <w:sz w:val="22"/>
          <w:highlight w:val="yellow"/>
        </w:rPr>
        <w:t>[Option — raison d’être]</w:t>
      </w:r>
      <w:r>
        <w:rPr>
          <w:rFonts w:ascii="Calibri" w:hAnsi="Calibri" w:eastAsia="Calibri"/>
          <w:sz w:val="22"/>
        </w:rPr>
        <w:t xml:space="preserve"> </w:t>
      </w:r>
      <w:r>
        <w:rPr>
          <w:rFonts w:ascii="Calibri" w:hAnsi="Calibri" w:eastAsia="Calibri"/>
          <w:sz w:val="22"/>
        </w:rPr>
        <w:t xml:space="preserve">Conformément à l’article 1835 du code civil, la société se dote de la raison d’être suivante : </w:t>
      </w:r>
      <w:r>
        <w:rPr>
          <w:rFonts w:ascii="Calibri" w:hAnsi="Calibri" w:eastAsia="Calibri"/>
          <w:sz w:val="22"/>
          <w:highlight w:val="yellow"/>
        </w:rPr>
        <w:t>[principes dont la société se dote et pour le respect desquels elle entend affecter des moyens dans la réalisation de son activité]</w:t>
      </w:r>
      <w:r>
        <w:rPr>
          <w:rFonts w:ascii="Calibri" w:hAnsi="Calibri" w:eastAsia="Calibri"/>
          <w:sz w:val="22"/>
        </w:rPr>
        <w:t>.</w:t>
      </w:r>
    </w:p>
    <w:p>
      <w:pPr>
        <w:keepNext/>
        <w:spacing w:after="80" w:before="120"/>
      </w:pPr>
      <w:r>
        <w:rPr>
          <w:rFonts w:ascii="Calibri" w:hAnsi="Calibri" w:eastAsia="Calibri"/>
          <w:b/>
          <w:sz w:val="22"/>
        </w:rPr>
        <w:t>Article 3 — Dénomination</w:t>
      </w:r>
    </w:p>
    <w:p>
      <w:pPr>
        <w:spacing w:after="120" w:before="0"/>
        <w:jc w:val="both"/>
      </w:pPr>
      <w:r>
        <w:rPr>
          <w:rFonts w:ascii="Calibri" w:hAnsi="Calibri" w:eastAsia="Calibri"/>
          <w:sz w:val="22"/>
        </w:rPr>
        <w:t xml:space="preserve">La société est désignée par la dénomination sociale suivante : </w:t>
      </w:r>
      <w:r>
        <w:rPr>
          <w:rFonts w:ascii="Calibri" w:hAnsi="Calibri" w:eastAsia="Calibri"/>
          <w:b/>
          <w:sz w:val="22"/>
          <w:highlight w:val="yellow"/>
        </w:rPr>
        <w:t>[DÉNOMINATION]</w:t>
      </w:r>
      <w:r>
        <w:rPr>
          <w:rFonts w:ascii="Calibri" w:hAnsi="Calibri" w:eastAsia="Calibri"/>
          <w:sz w:val="22"/>
        </w:rPr>
        <w:t xml:space="preserve">, </w:t>
      </w:r>
      <w:r>
        <w:rPr>
          <w:rFonts w:ascii="Calibri" w:hAnsi="Calibri" w:eastAsia="Calibri"/>
          <w:sz w:val="22"/>
          <w:highlight w:val="yellow"/>
        </w:rPr>
        <w:t>[à laquelle peut être incorporé le nom d’un ou plusieurs associés]</w:t>
      </w:r>
      <w:r>
        <w:rPr>
          <w:rFonts w:ascii="Calibri" w:hAnsi="Calibri" w:eastAsia="Calibri"/>
          <w:sz w:val="22"/>
        </w:rPr>
        <w:t>.</w:t>
      </w:r>
    </w:p>
    <w:p>
      <w:pPr>
        <w:spacing w:after="120" w:before="0"/>
        <w:jc w:val="both"/>
      </w:pPr>
      <w:r>
        <w:rPr>
          <w:rFonts w:ascii="Calibri" w:hAnsi="Calibri" w:eastAsia="Calibri"/>
          <w:sz w:val="22"/>
        </w:rPr>
        <w:t>Dans tous les actes et documents émanant de la société et destinés aux tiers, la dénomination doit être précédée ou suivie immédiatement des mots « société en nom collectif », ainsi que des autres mentions exigées par la réglementation.</w:t>
      </w:r>
    </w:p>
    <w:p>
      <w:pPr>
        <w:keepNext/>
        <w:spacing w:after="80" w:before="120"/>
      </w:pPr>
      <w:r>
        <w:rPr>
          <w:rFonts w:ascii="Calibri" w:hAnsi="Calibri" w:eastAsia="Calibri"/>
          <w:b/>
          <w:sz w:val="22"/>
        </w:rPr>
        <w:t>Article 4 — Siège social</w:t>
      </w:r>
    </w:p>
    <w:p>
      <w:pPr>
        <w:spacing w:after="120" w:before="0"/>
        <w:jc w:val="both"/>
      </w:pPr>
      <w:r>
        <w:rPr>
          <w:rFonts w:ascii="Calibri" w:hAnsi="Calibri" w:eastAsia="Calibri"/>
          <w:sz w:val="22"/>
        </w:rPr>
        <w:t xml:space="preserve">Le siège social est fixé : </w:t>
      </w:r>
      <w:r>
        <w:rPr>
          <w:rFonts w:ascii="Calibri" w:hAnsi="Calibri" w:eastAsia="Calibri"/>
          <w:sz w:val="22"/>
          <w:highlight w:val="yellow"/>
        </w:rPr>
        <w:t>[adresse complète]</w:t>
      </w:r>
      <w:r>
        <w:rPr>
          <w:rFonts w:ascii="Calibri" w:hAnsi="Calibri" w:eastAsia="Calibri"/>
          <w:sz w:val="22"/>
        </w:rPr>
        <w:t>.</w:t>
      </w:r>
    </w:p>
    <w:p>
      <w:pPr>
        <w:spacing w:after="120" w:before="0"/>
        <w:jc w:val="both"/>
      </w:pPr>
      <w:r>
        <w:rPr>
          <w:rFonts w:ascii="Calibri" w:hAnsi="Calibri" w:eastAsia="Calibri"/>
          <w:sz w:val="22"/>
        </w:rPr>
        <w:t xml:space="preserve">Il peut être transféré en tout autre lieu par décision des associés prise dans les conditions de l’article 14 </w:t>
      </w:r>
      <w:r>
        <w:rPr>
          <w:rFonts w:ascii="Calibri" w:hAnsi="Calibri" w:eastAsia="Calibri"/>
          <w:sz w:val="22"/>
          <w:highlight w:val="yellow"/>
        </w:rPr>
        <w:t>[— option : ou, dans le même département ou un département limitrophe, par décision de la gérance, sous réserve de ratification par les associés]</w:t>
      </w:r>
      <w:r>
        <w:rPr>
          <w:rFonts w:ascii="Calibri" w:hAnsi="Calibri" w:eastAsia="Calibri"/>
          <w:sz w:val="22"/>
        </w:rPr>
        <w:t>.</w:t>
      </w:r>
    </w:p>
    <w:p>
      <w:pPr>
        <w:keepNext/>
        <w:spacing w:after="80" w:before="120"/>
      </w:pPr>
      <w:r>
        <w:rPr>
          <w:rFonts w:ascii="Calibri" w:hAnsi="Calibri" w:eastAsia="Calibri"/>
          <w:b/>
          <w:sz w:val="22"/>
        </w:rPr>
        <w:t>Article 5 — Durée</w:t>
      </w:r>
    </w:p>
    <w:p>
      <w:pPr>
        <w:spacing w:after="120" w:before="0"/>
        <w:jc w:val="both"/>
      </w:pPr>
      <w:r>
        <w:rPr>
          <w:rFonts w:ascii="Calibri" w:hAnsi="Calibri" w:eastAsia="Calibri"/>
          <w:sz w:val="22"/>
        </w:rPr>
        <w:t xml:space="preserve">La durée de la société est fixée à </w:t>
      </w:r>
      <w:r>
        <w:rPr>
          <w:rFonts w:ascii="Calibri" w:hAnsi="Calibri" w:eastAsia="Calibri"/>
          <w:sz w:val="22"/>
          <w:highlight w:val="yellow"/>
        </w:rPr>
        <w:t>[quatre-vingt-dix-neuf]</w:t>
      </w:r>
      <w:r>
        <w:rPr>
          <w:rFonts w:ascii="Calibri" w:hAnsi="Calibri" w:eastAsia="Calibri"/>
          <w:sz w:val="22"/>
        </w:rPr>
        <w:t xml:space="preserve"> années à compter de son immatriculation au registre du commerce et des sociétés, sauf dissolution anticipée ou prorogation.</w:t>
      </w:r>
    </w:p>
    <w:p>
      <w:pPr>
        <w:spacing w:after="120" w:before="0"/>
        <w:jc w:val="both"/>
      </w:pPr>
      <w:r>
        <w:rPr>
          <w:rFonts w:ascii="Calibri" w:hAnsi="Calibri" w:eastAsia="Calibri"/>
          <w:sz w:val="22"/>
        </w:rPr>
        <w:t xml:space="preserve">Un an au moins avant la date d’expiration de la société, </w:t>
      </w:r>
      <w:r>
        <w:rPr>
          <w:rFonts w:ascii="Calibri" w:hAnsi="Calibri" w:eastAsia="Calibri"/>
          <w:sz w:val="22"/>
        </w:rPr>
        <w:t>la gérance</w:t>
      </w:r>
      <w:r>
        <w:rPr>
          <w:rFonts w:ascii="Calibri" w:hAnsi="Calibri" w:eastAsia="Calibri"/>
          <w:sz w:val="22"/>
        </w:rPr>
        <w:t xml:space="preserve"> consulte </w:t>
      </w:r>
      <w:r>
        <w:rPr>
          <w:rFonts w:ascii="Calibri" w:hAnsi="Calibri" w:eastAsia="Calibri"/>
          <w:sz w:val="22"/>
        </w:rPr>
        <w:t>les associés</w:t>
      </w:r>
      <w:r>
        <w:rPr>
          <w:rFonts w:ascii="Calibri" w:hAnsi="Calibri" w:eastAsia="Calibri"/>
          <w:sz w:val="22"/>
        </w:rPr>
        <w:t xml:space="preserve"> à l’effet de décider si la société doit être prorogée.</w:t>
      </w:r>
    </w:p>
    <w:p>
      <w:pPr>
        <w:keepNext/>
        <w:spacing w:after="160" w:before="240"/>
        <w:jc w:val="center"/>
      </w:pPr>
      <w:r>
        <w:rPr>
          <w:rFonts w:ascii="Calibri" w:hAnsi="Calibri" w:eastAsia="Calibri"/>
          <w:b/>
          <w:sz w:val="23"/>
        </w:rPr>
        <w:t>TITRE II — APPORTS — CAPITAL SOCIAL — PARTS SOCIALES</w:t>
      </w:r>
    </w:p>
    <w:p>
      <w:pPr>
        <w:keepNext/>
        <w:spacing w:after="80" w:before="120"/>
      </w:pPr>
      <w:r>
        <w:rPr>
          <w:rFonts w:ascii="Calibri" w:hAnsi="Calibri" w:eastAsia="Calibri"/>
          <w:b/>
          <w:sz w:val="22"/>
        </w:rPr>
        <w:t>Article 6 — Apports</w:t>
      </w:r>
    </w:p>
    <w:p>
      <w:pPr>
        <w:spacing w:after="120" w:before="0"/>
        <w:jc w:val="both"/>
      </w:pPr>
      <w:r>
        <w:rPr>
          <w:rFonts w:ascii="Calibri" w:hAnsi="Calibri" w:eastAsia="Calibri"/>
          <w:sz w:val="22"/>
        </w:rPr>
        <w:t>Les associés font à la société les apports suivants :</w:t>
      </w:r>
    </w:p>
    <w:p>
      <w:pPr>
        <w:spacing w:after="60" w:before="0"/>
        <w:jc w:val="both"/>
      </w:pPr>
      <w:r>
        <w:rPr>
          <w:rFonts w:ascii="Calibri" w:hAnsi="Calibri" w:eastAsia="Calibri"/>
          <w:sz w:val="22"/>
        </w:rPr>
        <w:t xml:space="preserve">– </w:t>
      </w:r>
      <w:r>
        <w:rPr>
          <w:rFonts w:ascii="Calibri" w:hAnsi="Calibri" w:eastAsia="Calibri"/>
          <w:sz w:val="22"/>
          <w:highlight w:val="yellow"/>
        </w:rPr>
        <w:t>[Prénom NOM / dénomination]</w:t>
      </w:r>
      <w:r>
        <w:rPr>
          <w:rFonts w:ascii="Calibri" w:hAnsi="Calibri" w:eastAsia="Calibri"/>
          <w:sz w:val="22"/>
        </w:rPr>
        <w:t xml:space="preserve"> : </w:t>
      </w:r>
      <w:r>
        <w:rPr>
          <w:rFonts w:ascii="Calibri" w:hAnsi="Calibri" w:eastAsia="Calibri"/>
          <w:sz w:val="22"/>
          <w:highlight w:val="yellow"/>
        </w:rPr>
        <w:t>[apport en numéraire de … € / apport en nature de …, évalué à … €]</w:t>
      </w:r>
      <w:r>
        <w:rPr>
          <w:rFonts w:ascii="Calibri" w:hAnsi="Calibri" w:eastAsia="Calibri"/>
          <w:sz w:val="22"/>
        </w:rPr>
        <w:t xml:space="preserve"> ;</w:t>
      </w:r>
    </w:p>
    <w:p>
      <w:pPr>
        <w:spacing w:after="60" w:before="0"/>
        <w:jc w:val="both"/>
      </w:pPr>
      <w:r>
        <w:rPr>
          <w:rFonts w:ascii="Calibri" w:hAnsi="Calibri" w:eastAsia="Calibri"/>
          <w:sz w:val="22"/>
        </w:rPr>
        <w:t xml:space="preserve">– </w:t>
      </w:r>
      <w:r>
        <w:rPr>
          <w:rFonts w:ascii="Calibri" w:hAnsi="Calibri" w:eastAsia="Calibri"/>
          <w:sz w:val="22"/>
          <w:highlight w:val="yellow"/>
        </w:rPr>
        <w:t>[Prénom NOM / dénomination]</w:t>
      </w:r>
      <w:r>
        <w:rPr>
          <w:rFonts w:ascii="Calibri" w:hAnsi="Calibri" w:eastAsia="Calibri"/>
          <w:sz w:val="22"/>
        </w:rPr>
        <w:t xml:space="preserve"> : </w:t>
      </w:r>
      <w:r>
        <w:rPr>
          <w:rFonts w:ascii="Calibri" w:hAnsi="Calibri" w:eastAsia="Calibri"/>
          <w:sz w:val="22"/>
          <w:highlight w:val="yellow"/>
        </w:rPr>
        <w:t>[apport en numéraire de … € / apport en nature de …, évalué à … €]</w:t>
      </w:r>
      <w:r>
        <w:rPr>
          <w:rFonts w:ascii="Calibri" w:hAnsi="Calibri" w:eastAsia="Calibri"/>
          <w:sz w:val="22"/>
        </w:rPr>
        <w:t xml:space="preserve"> ;</w:t>
      </w:r>
    </w:p>
    <w:p>
      <w:pPr>
        <w:spacing w:after="120" w:before="0"/>
        <w:jc w:val="both"/>
      </w:pPr>
      <w:r>
        <w:rPr>
          <w:rFonts w:ascii="Calibri" w:hAnsi="Calibri" w:eastAsia="Calibri"/>
          <w:sz w:val="22"/>
        </w:rPr>
        <w:t xml:space="preserve">soit au total </w:t>
      </w:r>
      <w:r>
        <w:rPr>
          <w:rFonts w:ascii="Calibri" w:hAnsi="Calibri" w:eastAsia="Calibri"/>
          <w:sz w:val="22"/>
          <w:highlight w:val="yellow"/>
        </w:rPr>
        <w:t>[montant]</w:t>
      </w:r>
      <w:r>
        <w:rPr>
          <w:rFonts w:ascii="Calibri" w:hAnsi="Calibri" w:eastAsia="Calibri"/>
          <w:sz w:val="22"/>
        </w:rPr>
        <w:t xml:space="preserve"> €. Les apports en numéraire sont libérés </w:t>
      </w:r>
      <w:r>
        <w:rPr>
          <w:rFonts w:ascii="Calibri" w:hAnsi="Calibri" w:eastAsia="Calibri"/>
          <w:sz w:val="22"/>
          <w:highlight w:val="yellow"/>
        </w:rPr>
        <w:t>[en totalité, par versement sur un compte ouvert au nom de la société en formation auprès de … / à concurrence de …, le solde étant appelé par la gérance au fur et à mesure des besoins de la société, selon les modalités suivantes : …]</w:t>
      </w:r>
      <w:r>
        <w:rPr>
          <w:rFonts w:ascii="Calibri" w:hAnsi="Calibri" w:eastAsia="Calibri"/>
          <w:sz w:val="22"/>
        </w:rPr>
        <w:t>.</w:t>
      </w:r>
    </w:p>
    <w:p>
      <w:pPr>
        <w:spacing w:after="120" w:before="0"/>
        <w:jc w:val="both"/>
      </w:pPr>
      <w:r>
        <w:rPr>
          <w:rFonts w:ascii="Calibri" w:hAnsi="Calibri" w:eastAsia="Calibri"/>
          <w:b/>
          <w:sz w:val="22"/>
          <w:highlight w:val="yellow"/>
        </w:rPr>
        <w:t>[Option — apport en industrie]</w:t>
      </w:r>
      <w:r>
        <w:rPr>
          <w:rFonts w:ascii="Calibri" w:hAnsi="Calibri" w:eastAsia="Calibri"/>
          <w:sz w:val="22"/>
        </w:rPr>
        <w:t xml:space="preserve"> </w:t>
      </w:r>
      <w:r>
        <w:rPr>
          <w:rFonts w:ascii="Calibri" w:hAnsi="Calibri" w:eastAsia="Calibri"/>
          <w:sz w:val="22"/>
          <w:highlight w:val="yellow"/>
        </w:rPr>
        <w:t>[Prénom NOM]</w:t>
      </w:r>
      <w:r>
        <w:rPr>
          <w:rFonts w:ascii="Calibri" w:hAnsi="Calibri" w:eastAsia="Calibri"/>
          <w:sz w:val="22"/>
        </w:rPr>
        <w:t xml:space="preserve"> apporte son industrie, consistant en </w:t>
      </w:r>
      <w:r>
        <w:rPr>
          <w:rFonts w:ascii="Calibri" w:hAnsi="Calibri" w:eastAsia="Calibri"/>
          <w:sz w:val="22"/>
          <w:highlight w:val="yellow"/>
        </w:rPr>
        <w:t>[…]</w:t>
      </w:r>
      <w:r>
        <w:rPr>
          <w:rFonts w:ascii="Calibri" w:hAnsi="Calibri" w:eastAsia="Calibri"/>
          <w:sz w:val="22"/>
        </w:rPr>
        <w:t xml:space="preserve"> ; il lui est attribué </w:t>
      </w:r>
      <w:r>
        <w:rPr>
          <w:rFonts w:ascii="Calibri" w:hAnsi="Calibri" w:eastAsia="Calibri"/>
          <w:sz w:val="22"/>
          <w:highlight w:val="yellow"/>
        </w:rPr>
        <w:t>[nombre]</w:t>
      </w:r>
      <w:r>
        <w:rPr>
          <w:rFonts w:ascii="Calibri" w:hAnsi="Calibri" w:eastAsia="Calibri"/>
          <w:sz w:val="22"/>
        </w:rPr>
        <w:t xml:space="preserve"> parts en industrie, qui ne concourent pas à la formation du capital social mais ouvrent droit au partage des bénéfices et de l’actif net, à charge de contribuer aux pertes. Sa part dans les bénéfices et sa contribution aux pertes sont </w:t>
      </w:r>
      <w:r>
        <w:rPr>
          <w:rFonts w:ascii="Calibri" w:hAnsi="Calibri" w:eastAsia="Calibri"/>
          <w:sz w:val="22"/>
          <w:highlight w:val="yellow"/>
        </w:rPr>
        <w:t>[de … % / égales à celles de l’associé qui a le moins apporté]</w:t>
      </w:r>
      <w:r>
        <w:rPr>
          <w:rFonts w:ascii="Calibri" w:hAnsi="Calibri" w:eastAsia="Calibri"/>
          <w:sz w:val="22"/>
        </w:rPr>
        <w:t>.</w:t>
      </w:r>
    </w:p>
    <w:p>
      <w:pPr>
        <w:keepNext/>
        <w:spacing w:after="80" w:before="80"/>
      </w:pPr>
      <w:r>
        <w:rPr>
          <w:rFonts w:ascii="Calibri" w:hAnsi="Calibri" w:eastAsia="Calibri"/>
          <w:b/>
          <w:sz w:val="22"/>
        </w:rPr>
        <w:t>Déclarations relatives aux biens communs (article 1832-2 du code civil)</w:t>
      </w:r>
    </w:p>
    <w:p>
      <w:pPr>
        <w:spacing w:after="120" w:before="0"/>
        <w:jc w:val="both"/>
      </w:pPr>
      <w:r>
        <w:rPr>
          <w:rFonts w:ascii="Calibri" w:hAnsi="Calibri" w:eastAsia="Calibri"/>
          <w:sz w:val="22"/>
          <w:highlight w:val="yellow"/>
        </w:rPr>
        <w:t>[Prénom NOM]</w:t>
      </w:r>
      <w:r>
        <w:rPr>
          <w:rFonts w:ascii="Calibri" w:hAnsi="Calibri" w:eastAsia="Calibri"/>
          <w:sz w:val="22"/>
        </w:rPr>
        <w:t xml:space="preserve">, marié(e) sous un régime de communauté, déclare que les sommes </w:t>
      </w:r>
      <w:r>
        <w:rPr>
          <w:rFonts w:ascii="Calibri" w:hAnsi="Calibri" w:eastAsia="Calibri"/>
          <w:sz w:val="22"/>
          <w:highlight w:val="yellow"/>
        </w:rPr>
        <w:t>[et biens]</w:t>
      </w:r>
      <w:r>
        <w:rPr>
          <w:rFonts w:ascii="Calibri" w:hAnsi="Calibri" w:eastAsia="Calibri"/>
          <w:sz w:val="22"/>
        </w:rPr>
        <w:t xml:space="preserve"> apportés </w:t>
      </w:r>
      <w:r>
        <w:rPr>
          <w:rFonts w:ascii="Calibri" w:hAnsi="Calibri" w:eastAsia="Calibri"/>
          <w:sz w:val="22"/>
          <w:highlight w:val="yellow"/>
        </w:rPr>
        <w:t>[sont des biens propres / dépendent de la communauté]</w:t>
      </w:r>
      <w:r>
        <w:rPr>
          <w:rFonts w:ascii="Calibri" w:hAnsi="Calibri" w:eastAsia="Calibri"/>
          <w:sz w:val="22"/>
        </w:rPr>
        <w:t xml:space="preserve">. </w:t>
      </w:r>
      <w:r>
        <w:rPr>
          <w:rFonts w:ascii="Calibri" w:hAnsi="Calibri" w:eastAsia="Calibri"/>
          <w:sz w:val="22"/>
          <w:highlight w:val="yellow"/>
        </w:rPr>
        <w:t>[En cas de biens communs :]</w:t>
      </w:r>
      <w:r>
        <w:rPr>
          <w:rFonts w:ascii="Calibri" w:hAnsi="Calibri" w:eastAsia="Calibri"/>
          <w:sz w:val="22"/>
        </w:rPr>
        <w:t xml:space="preserve"> son conjoint, </w:t>
      </w:r>
      <w:r>
        <w:rPr>
          <w:rFonts w:ascii="Calibri" w:hAnsi="Calibri" w:eastAsia="Calibri"/>
          <w:sz w:val="22"/>
          <w:highlight w:val="yellow"/>
        </w:rPr>
        <w:t>[Prénom NOM]</w:t>
      </w:r>
      <w:r>
        <w:rPr>
          <w:rFonts w:ascii="Calibri" w:hAnsi="Calibri" w:eastAsia="Calibri"/>
          <w:sz w:val="22"/>
        </w:rPr>
        <w:t xml:space="preserve">, intervenant aux présentes, reconnaît avoir été averti de cet apport et déclare </w:t>
      </w:r>
      <w:r>
        <w:rPr>
          <w:rFonts w:ascii="Calibri" w:hAnsi="Calibri" w:eastAsia="Calibri"/>
          <w:sz w:val="22"/>
          <w:highlight w:val="yellow"/>
        </w:rPr>
        <w:t>[ne pas revendiquer, à ce jour, la qualité d’associé / notifier par les présentes son intention d’être personnellement associé pour la moitié des parts souscrites]</w:t>
      </w:r>
      <w:r>
        <w:rPr>
          <w:rFonts w:ascii="Calibri" w:hAnsi="Calibri" w:eastAsia="Calibri"/>
          <w:sz w:val="22"/>
        </w:rPr>
        <w:t>.</w:t>
      </w:r>
    </w:p>
    <w:p>
      <w:pPr>
        <w:keepNext/>
        <w:spacing w:after="80" w:before="120"/>
      </w:pPr>
      <w:r>
        <w:rPr>
          <w:rFonts w:ascii="Calibri" w:hAnsi="Calibri" w:eastAsia="Calibri"/>
          <w:b/>
          <w:sz w:val="22"/>
        </w:rPr>
        <w:t>Article 7 — Capital social — Répartition des parts</w:t>
      </w:r>
    </w:p>
    <w:p>
      <w:pPr>
        <w:spacing w:after="120" w:before="0"/>
        <w:jc w:val="both"/>
      </w:pPr>
      <w:r>
        <w:rPr>
          <w:rFonts w:ascii="Calibri" w:hAnsi="Calibri" w:eastAsia="Calibri"/>
          <w:sz w:val="22"/>
        </w:rPr>
        <w:t xml:space="preserve">Le capital social est fixé à la somme de </w:t>
      </w:r>
      <w:r>
        <w:rPr>
          <w:rFonts w:ascii="Calibri" w:hAnsi="Calibri" w:eastAsia="Calibri"/>
          <w:b/>
          <w:sz w:val="22"/>
          <w:highlight w:val="yellow"/>
        </w:rPr>
        <w:t>[montant]</w:t>
      </w:r>
      <w:r>
        <w:rPr>
          <w:rFonts w:ascii="Calibri" w:hAnsi="Calibri" w:eastAsia="Calibri"/>
          <w:b/>
          <w:sz w:val="22"/>
        </w:rPr>
        <w:t xml:space="preserve"> €</w:t>
      </w:r>
      <w:r>
        <w:rPr>
          <w:rFonts w:ascii="Calibri" w:hAnsi="Calibri" w:eastAsia="Calibri"/>
          <w:sz w:val="22"/>
        </w:rPr>
        <w:t xml:space="preserve">. Il est divisé en </w:t>
      </w:r>
      <w:r>
        <w:rPr>
          <w:rFonts w:ascii="Calibri" w:hAnsi="Calibri" w:eastAsia="Calibri"/>
          <w:sz w:val="22"/>
          <w:highlight w:val="yellow"/>
        </w:rPr>
        <w:t>[nombre]</w:t>
      </w:r>
      <w:r>
        <w:rPr>
          <w:rFonts w:ascii="Calibri" w:hAnsi="Calibri" w:eastAsia="Calibri"/>
          <w:sz w:val="22"/>
        </w:rPr>
        <w:t xml:space="preserve"> parts sociales de </w:t>
      </w:r>
      <w:r>
        <w:rPr>
          <w:rFonts w:ascii="Calibri" w:hAnsi="Calibri" w:eastAsia="Calibri"/>
          <w:sz w:val="22"/>
          <w:highlight w:val="yellow"/>
        </w:rPr>
        <w:t>[valeur nominale]</w:t>
      </w:r>
      <w:r>
        <w:rPr>
          <w:rFonts w:ascii="Calibri" w:hAnsi="Calibri" w:eastAsia="Calibri"/>
          <w:sz w:val="22"/>
        </w:rPr>
        <w:t xml:space="preserve"> € chacune, numérotées de 1 à </w:t>
      </w:r>
      <w:r>
        <w:rPr>
          <w:rFonts w:ascii="Calibri" w:hAnsi="Calibri" w:eastAsia="Calibri"/>
          <w:sz w:val="22"/>
          <w:highlight w:val="yellow"/>
        </w:rPr>
        <w:t>[nombre]</w:t>
      </w:r>
      <w:r>
        <w:rPr>
          <w:rFonts w:ascii="Calibri" w:hAnsi="Calibri" w:eastAsia="Calibri"/>
          <w:sz w:val="22"/>
        </w:rPr>
        <w:t>, attribuées aux associés en proportion de leurs apports et réparties comme suit :</w:t>
      </w:r>
    </w:p>
    <w:tbl>
      <w:tblPr>
        <w:tblStyle w:val="TableGrid"/>
        <w:tblW w:type="auto" w:w="0"/>
        <w:tblLayout w:type="fixed"/>
        <w:tblLook w:firstColumn="1" w:firstRow="1" w:lastColumn="0" w:lastRow="0" w:noHBand="0" w:noVBand="1" w:val="04A0"/>
      </w:tblPr>
      <w:tblGrid>
        <w:gridCol w:w="3628"/>
        <w:gridCol w:w="1927"/>
        <w:gridCol w:w="1700"/>
        <w:gridCol w:w="2040"/>
      </w:tblGrid>
      <w:tr>
        <w:tc>
          <w:tcPr>
            <w:tcW w:type="dxa" w:w="3628"/>
            <w:shd w:val="clear" w:color="auto" w:fill="E8EEF4"/>
          </w:tcPr>
          <w:p>
            <w:pPr>
              <w:spacing w:after="40" w:before="0"/>
            </w:pPr>
            <w:r>
              <w:rPr>
                <w:rFonts w:ascii="Calibri" w:hAnsi="Calibri" w:eastAsia="Calibri"/>
                <w:b/>
                <w:sz w:val="19"/>
              </w:rPr>
              <w:t>Associé</w:t>
            </w:r>
          </w:p>
        </w:tc>
        <w:tc>
          <w:tcPr>
            <w:tcW w:type="dxa" w:w="1928"/>
            <w:shd w:val="clear" w:color="auto" w:fill="E8EEF4"/>
          </w:tcPr>
          <w:p>
            <w:pPr>
              <w:spacing w:after="40" w:before="0"/>
            </w:pPr>
            <w:r>
              <w:rPr>
                <w:rFonts w:ascii="Calibri" w:hAnsi="Calibri" w:eastAsia="Calibri"/>
                <w:b/>
                <w:sz w:val="19"/>
              </w:rPr>
              <w:t>Numéros des parts</w:t>
            </w:r>
          </w:p>
        </w:tc>
        <w:tc>
          <w:tcPr>
            <w:tcW w:type="dxa" w:w="1701"/>
            <w:shd w:val="clear" w:color="auto" w:fill="E8EEF4"/>
          </w:tcPr>
          <w:p>
            <w:pPr>
              <w:spacing w:after="40" w:before="0"/>
            </w:pPr>
            <w:r>
              <w:rPr>
                <w:rFonts w:ascii="Calibri" w:hAnsi="Calibri" w:eastAsia="Calibri"/>
                <w:b/>
                <w:sz w:val="19"/>
              </w:rPr>
              <w:t>Nombre de parts</w:t>
            </w:r>
          </w:p>
        </w:tc>
        <w:tc>
          <w:tcPr>
            <w:tcW w:type="dxa" w:w="2041"/>
            <w:shd w:val="clear" w:color="auto" w:fill="E8EEF4"/>
          </w:tcPr>
          <w:p>
            <w:pPr>
              <w:spacing w:after="40" w:before="0"/>
            </w:pPr>
            <w:r>
              <w:rPr>
                <w:rFonts w:ascii="Calibri" w:hAnsi="Calibri" w:eastAsia="Calibri"/>
                <w:b/>
                <w:sz w:val="19"/>
              </w:rPr>
              <w:t>Montant nominal</w:t>
            </w:r>
          </w:p>
        </w:tc>
      </w:tr>
      <w:tr>
        <w:tc>
          <w:tcPr>
            <w:tcW w:type="dxa" w:w="3628"/>
          </w:tcPr>
          <w:p>
            <w:pPr>
              <w:spacing w:after="40" w:before="0"/>
            </w:pPr>
            <w:r>
              <w:rPr>
                <w:rFonts w:ascii="Calibri" w:hAnsi="Calibri" w:eastAsia="Calibri"/>
                <w:sz w:val="19"/>
                <w:highlight w:val="yellow"/>
              </w:rPr>
              <w:t>[Prénom NOM / dénomination]</w:t>
            </w:r>
          </w:p>
        </w:tc>
        <w:tc>
          <w:tcPr>
            <w:tcW w:type="dxa" w:w="1928"/>
          </w:tcPr>
          <w:p>
            <w:pPr>
              <w:spacing w:after="40" w:before="0"/>
            </w:pPr>
            <w:r>
              <w:rPr>
                <w:rFonts w:ascii="Calibri" w:hAnsi="Calibri" w:eastAsia="Calibri"/>
                <w:sz w:val="19"/>
                <w:highlight w:val="yellow"/>
              </w:rPr>
              <w:t>[1 à …]</w:t>
            </w:r>
          </w:p>
        </w:tc>
        <w:tc>
          <w:tcPr>
            <w:tcW w:type="dxa" w:w="1701"/>
          </w:tcPr>
          <w:p>
            <w:pPr>
              <w:spacing w:after="40" w:before="0"/>
            </w:pPr>
            <w:r>
              <w:rPr>
                <w:rFonts w:ascii="Calibri" w:hAnsi="Calibri" w:eastAsia="Calibri"/>
                <w:sz w:val="19"/>
                <w:highlight w:val="yellow"/>
              </w:rPr>
              <w:t>[…]</w:t>
            </w:r>
          </w:p>
        </w:tc>
        <w:tc>
          <w:tcPr>
            <w:tcW w:type="dxa" w:w="2041"/>
          </w:tcPr>
          <w:p>
            <w:pPr>
              <w:spacing w:after="40" w:before="0"/>
            </w:pPr>
            <w:r>
              <w:rPr>
                <w:rFonts w:ascii="Calibri" w:hAnsi="Calibri" w:eastAsia="Calibri"/>
                <w:sz w:val="19"/>
                <w:highlight w:val="yellow"/>
              </w:rPr>
              <w:t>[…]</w:t>
            </w:r>
            <w:r>
              <w:rPr>
                <w:rFonts w:ascii="Calibri" w:hAnsi="Calibri" w:eastAsia="Calibri"/>
                <w:sz w:val="19"/>
              </w:rPr>
              <w:t xml:space="preserve"> €</w:t>
            </w:r>
          </w:p>
        </w:tc>
      </w:tr>
      <w:tr>
        <w:tc>
          <w:tcPr>
            <w:tcW w:type="dxa" w:w="3628"/>
          </w:tcPr>
          <w:p>
            <w:pPr>
              <w:spacing w:after="40" w:before="0"/>
            </w:pPr>
            <w:r>
              <w:rPr>
                <w:rFonts w:ascii="Calibri" w:hAnsi="Calibri" w:eastAsia="Calibri"/>
                <w:sz w:val="19"/>
                <w:highlight w:val="yellow"/>
              </w:rPr>
              <w:t>[Prénom NOM / dénomination]</w:t>
            </w:r>
          </w:p>
        </w:tc>
        <w:tc>
          <w:tcPr>
            <w:tcW w:type="dxa" w:w="1928"/>
          </w:tcPr>
          <w:p>
            <w:pPr>
              <w:spacing w:after="40" w:before="0"/>
            </w:pPr>
            <w:r>
              <w:rPr>
                <w:rFonts w:ascii="Calibri" w:hAnsi="Calibri" w:eastAsia="Calibri"/>
                <w:sz w:val="19"/>
                <w:highlight w:val="yellow"/>
              </w:rPr>
              <w:t>[… à …]</w:t>
            </w:r>
          </w:p>
        </w:tc>
        <w:tc>
          <w:tcPr>
            <w:tcW w:type="dxa" w:w="1701"/>
          </w:tcPr>
          <w:p>
            <w:pPr>
              <w:spacing w:after="40" w:before="0"/>
            </w:pPr>
            <w:r>
              <w:rPr>
                <w:rFonts w:ascii="Calibri" w:hAnsi="Calibri" w:eastAsia="Calibri"/>
                <w:sz w:val="19"/>
                <w:highlight w:val="yellow"/>
              </w:rPr>
              <w:t>[…]</w:t>
            </w:r>
          </w:p>
        </w:tc>
        <w:tc>
          <w:tcPr>
            <w:tcW w:type="dxa" w:w="2041"/>
          </w:tcPr>
          <w:p>
            <w:pPr>
              <w:spacing w:after="40" w:before="0"/>
            </w:pPr>
            <w:r>
              <w:rPr>
                <w:rFonts w:ascii="Calibri" w:hAnsi="Calibri" w:eastAsia="Calibri"/>
                <w:sz w:val="19"/>
                <w:highlight w:val="yellow"/>
              </w:rPr>
              <w:t>[…]</w:t>
            </w:r>
            <w:r>
              <w:rPr>
                <w:rFonts w:ascii="Calibri" w:hAnsi="Calibri" w:eastAsia="Calibri"/>
                <w:sz w:val="19"/>
              </w:rPr>
              <w:t xml:space="preserve"> €</w:t>
            </w:r>
          </w:p>
        </w:tc>
      </w:tr>
      <w:tr>
        <w:tc>
          <w:tcPr>
            <w:tcW w:type="dxa" w:w="3628"/>
          </w:tcPr>
          <w:p>
            <w:pPr>
              <w:spacing w:after="40" w:before="0"/>
            </w:pPr>
            <w:r>
              <w:rPr>
                <w:rFonts w:ascii="Calibri" w:hAnsi="Calibri" w:eastAsia="Calibri"/>
                <w:b/>
                <w:sz w:val="19"/>
              </w:rPr>
              <w:t>Total</w:t>
            </w:r>
          </w:p>
        </w:tc>
        <w:tc>
          <w:tcPr>
            <w:tcW w:type="dxa" w:w="1928"/>
          </w:tcPr>
          <w:p>
            <w:pPr>
              <w:spacing w:after="40" w:before="0"/>
            </w:pPr>
            <w:r>
              <w:rPr>
                <w:rFonts w:ascii="Calibri" w:hAnsi="Calibri" w:eastAsia="Calibri"/>
                <w:sz w:val="19"/>
              </w:rPr>
              <w:t>—</w:t>
            </w:r>
          </w:p>
        </w:tc>
        <w:tc>
          <w:tcPr>
            <w:tcW w:type="dxa" w:w="1701"/>
          </w:tcPr>
          <w:p>
            <w:pPr>
              <w:spacing w:after="40" w:before="0"/>
            </w:pPr>
            <w:r>
              <w:rPr>
                <w:rFonts w:ascii="Calibri" w:hAnsi="Calibri" w:eastAsia="Calibri"/>
                <w:sz w:val="19"/>
                <w:highlight w:val="yellow"/>
              </w:rPr>
              <w:t>[…]</w:t>
            </w:r>
          </w:p>
        </w:tc>
        <w:tc>
          <w:tcPr>
            <w:tcW w:type="dxa" w:w="2041"/>
          </w:tcPr>
          <w:p>
            <w:pPr>
              <w:spacing w:after="40" w:before="0"/>
            </w:pPr>
            <w:r>
              <w:rPr>
                <w:rFonts w:ascii="Calibri" w:hAnsi="Calibri" w:eastAsia="Calibri"/>
                <w:sz w:val="19"/>
                <w:highlight w:val="yellow"/>
              </w:rPr>
              <w:t>[…]</w:t>
            </w:r>
            <w:r>
              <w:rPr>
                <w:rFonts w:ascii="Calibri" w:hAnsi="Calibri" w:eastAsia="Calibri"/>
                <w:sz w:val="19"/>
              </w:rPr>
              <w:t xml:space="preserve"> €</w:t>
            </w:r>
          </w:p>
        </w:tc>
      </w:tr>
    </w:tbl>
    <w:p>
      <w:pPr>
        <w:spacing w:after="160"/>
      </w:pPr>
    </w:p>
    <w:p>
      <w:pPr>
        <w:spacing w:after="120" w:before="0"/>
        <w:jc w:val="both"/>
      </w:pPr>
      <w:r>
        <w:rPr>
          <w:rFonts w:ascii="Calibri" w:hAnsi="Calibri" w:eastAsia="Calibri"/>
          <w:sz w:val="22"/>
        </w:rPr>
        <w:t>Le capital peut être augmenté ou réduit par décision des associés prise dans les conditions de l’article 14 ; la majorité ne peut en aucun cas augmenter les engagements d’un associé sans son consentement.</w:t>
      </w:r>
    </w:p>
    <w:p>
      <w:pPr>
        <w:keepNext/>
        <w:spacing w:after="80" w:before="120"/>
      </w:pPr>
      <w:r>
        <w:rPr>
          <w:rFonts w:ascii="Calibri" w:hAnsi="Calibri" w:eastAsia="Calibri"/>
          <w:b/>
          <w:sz w:val="22"/>
        </w:rPr>
        <w:t>Article 8 — Parts sociales</w:t>
      </w:r>
    </w:p>
    <w:p>
      <w:pPr>
        <w:spacing w:after="120" w:before="0"/>
        <w:jc w:val="both"/>
      </w:pPr>
      <w:r>
        <w:rPr>
          <w:rFonts w:ascii="Calibri" w:hAnsi="Calibri" w:eastAsia="Calibri"/>
          <w:sz w:val="22"/>
        </w:rPr>
        <w:t>Les parts sociales ne peuvent être représentées par des titres négociables. Chaque part donne droit à une voix dans les décisions collectives.</w:t>
      </w:r>
    </w:p>
    <w:p>
      <w:pPr>
        <w:spacing w:after="120" w:before="0"/>
        <w:jc w:val="both"/>
      </w:pPr>
      <w:r>
        <w:rPr>
          <w:rFonts w:ascii="Calibri" w:hAnsi="Calibri" w:eastAsia="Calibri"/>
          <w:sz w:val="22"/>
        </w:rPr>
        <w:t xml:space="preserve">La part de chaque associé dans les bénéfices et sa contribution aux pertes se déterminent à proportion de sa part dans le capital social, et la part de l’associé qui n’a apporté que son industrie est égale à celle de l’associé qui a le moins apporté, </w:t>
      </w:r>
      <w:r>
        <w:rPr>
          <w:rFonts w:ascii="Calibri" w:hAnsi="Calibri" w:eastAsia="Calibri"/>
          <w:sz w:val="22"/>
          <w:highlight w:val="yellow"/>
        </w:rPr>
        <w:t>[sauf répartition différente, à préciser]</w:t>
      </w:r>
      <w:r>
        <w:rPr>
          <w:rFonts w:ascii="Calibri" w:hAnsi="Calibri" w:eastAsia="Calibri"/>
          <w:sz w:val="22"/>
        </w:rPr>
        <w:t>. Est réputée non écrite toute stipulation attribuant à un associé la totalité du profit procuré par la société ou l’exonérant de la totalité des pertes, ou excluant un associé totalement du profit ou mettant à sa charge la totalité des pertes.</w:t>
      </w:r>
    </w:p>
    <w:p>
      <w:pPr>
        <w:spacing w:after="120" w:before="0"/>
        <w:jc w:val="both"/>
      </w:pPr>
      <w:r>
        <w:rPr>
          <w:rFonts w:ascii="Calibri" w:hAnsi="Calibri" w:eastAsia="Calibri"/>
          <w:sz w:val="22"/>
        </w:rPr>
        <w:t>Les copropriétaires indivis d’une part sont représentés par un mandataire unique. Si une part est grevée d’un usufruit, le droit de vote appartient au nu-propriétaire, sauf pour les décisions concernant l’affectation des bénéfices, où il est réservé à l’usufruitier.</w:t>
      </w:r>
    </w:p>
    <w:p>
      <w:pPr>
        <w:keepNext/>
        <w:spacing w:after="80" w:before="120"/>
      </w:pPr>
      <w:r>
        <w:rPr>
          <w:rFonts w:ascii="Calibri" w:hAnsi="Calibri" w:eastAsia="Calibri"/>
          <w:b/>
          <w:sz w:val="22"/>
        </w:rPr>
        <w:t>Article 9 — Comptes courants d’associés</w:t>
      </w:r>
    </w:p>
    <w:p>
      <w:pPr>
        <w:spacing w:after="120" w:before="0"/>
        <w:jc w:val="both"/>
      </w:pPr>
      <w:r>
        <w:rPr>
          <w:rFonts w:ascii="Calibri" w:hAnsi="Calibri" w:eastAsia="Calibri"/>
          <w:sz w:val="22"/>
        </w:rPr>
        <w:t>Les associés peuvent, avec l’accord de la gérance, mettre à la disposition de la société les sommes dont celle-ci peut avoir besoin, selon les conditions de rémunération et de remboursement fixées d’un commun accord.</w:t>
      </w:r>
    </w:p>
    <w:p>
      <w:pPr>
        <w:keepNext/>
        <w:spacing w:after="160" w:before="240"/>
        <w:jc w:val="center"/>
      </w:pPr>
      <w:r>
        <w:rPr>
          <w:rFonts w:ascii="Calibri" w:hAnsi="Calibri" w:eastAsia="Calibri"/>
          <w:b/>
          <w:sz w:val="23"/>
        </w:rPr>
        <w:t>TITRE III — CESSION DES PARTS — DÉCÈS ET ÉVÉNEMENTS AFFECTANT UN ASSOCIÉ</w:t>
      </w:r>
    </w:p>
    <w:p>
      <w:pPr>
        <w:keepNext/>
        <w:spacing w:after="80" w:before="120"/>
      </w:pPr>
      <w:r>
        <w:rPr>
          <w:rFonts w:ascii="Calibri" w:hAnsi="Calibri" w:eastAsia="Calibri"/>
          <w:b/>
          <w:sz w:val="22"/>
        </w:rPr>
        <w:t>Article 10 — Cession des parts</w:t>
      </w:r>
    </w:p>
    <w:p>
      <w:pPr>
        <w:spacing w:after="120" w:before="0"/>
        <w:jc w:val="both"/>
      </w:pPr>
      <w:r>
        <w:rPr>
          <w:rFonts w:ascii="Calibri" w:hAnsi="Calibri" w:eastAsia="Calibri"/>
          <w:sz w:val="22"/>
        </w:rPr>
        <w:t>Les parts sociales ne peuvent être cédées qu’avec le consentement de tous les associés. Toute clause contraire est réputée non écrite.</w:t>
      </w:r>
    </w:p>
    <w:p>
      <w:pPr>
        <w:spacing w:after="120" w:before="0"/>
        <w:jc w:val="both"/>
      </w:pPr>
      <w:r>
        <w:rPr>
          <w:rFonts w:ascii="Calibri" w:hAnsi="Calibri" w:eastAsia="Calibri"/>
          <w:sz w:val="22"/>
        </w:rPr>
        <w:t>La cession est constatée par écrit. Elle est rendue opposable à la société par sa signification par commissaire de justice ou par le dépôt d’un original de l’acte de cession au siège social contre remise par le gérant d’une attestation de ce dépôt. Elle n’est opposable aux tiers qu’après l’accomplissement de ces formalités et, en outre, après publication des statuts modifiés au registre du commerce et des sociétés.</w:t>
      </w:r>
    </w:p>
    <w:p>
      <w:pPr>
        <w:keepNext/>
        <w:spacing w:after="80" w:before="120"/>
      </w:pPr>
      <w:r>
        <w:rPr>
          <w:rFonts w:ascii="Calibri" w:hAnsi="Calibri" w:eastAsia="Calibri"/>
          <w:b/>
          <w:sz w:val="22"/>
        </w:rPr>
        <w:t>Article 11 — Décès d’un associé</w:t>
      </w:r>
    </w:p>
    <w:p>
      <w:pPr>
        <w:spacing w:after="120" w:before="0"/>
        <w:jc w:val="both"/>
      </w:pPr>
      <w:r>
        <w:rPr>
          <w:rFonts w:ascii="Calibri" w:hAnsi="Calibri" w:eastAsia="Calibri"/>
          <w:sz w:val="22"/>
        </w:rPr>
        <w:t>La société prend fin par le décès de l’un des associés, sauf stipulation contraire ci-après.</w:t>
      </w:r>
    </w:p>
    <w:p>
      <w:pPr>
        <w:spacing w:after="60" w:before="0"/>
        <w:jc w:val="both"/>
      </w:pPr>
      <w:r>
        <w:rPr>
          <w:rFonts w:ascii="Calibri" w:hAnsi="Calibri" w:eastAsia="Calibri"/>
          <w:sz w:val="22"/>
        </w:rPr>
        <w:t xml:space="preserve">☐ </w:t>
      </w:r>
      <w:r>
        <w:rPr>
          <w:rFonts w:ascii="Calibri" w:hAnsi="Calibri" w:eastAsia="Calibri"/>
          <w:b/>
          <w:sz w:val="22"/>
          <w:highlight w:val="yellow"/>
        </w:rPr>
        <w:t>[Variante A — continuation entre survivants]</w:t>
      </w:r>
      <w:r>
        <w:rPr>
          <w:rFonts w:ascii="Calibri" w:hAnsi="Calibri" w:eastAsia="Calibri"/>
          <w:sz w:val="22"/>
        </w:rPr>
        <w:t xml:space="preserve"> En cas de décès d’un associé, la société continue entre les associés survivants. Les héritiers et ayants droit de l’associé décédé n’ont droit qu’à la valeur des droits sociaux de leur auteur, déterminée au jour du décès dans les conditions prévues à l’article 1843-4 du code civil ; ils sont créanciers de la société.</w:t>
      </w:r>
    </w:p>
    <w:p>
      <w:pPr>
        <w:spacing w:after="60" w:before="0"/>
        <w:jc w:val="both"/>
      </w:pPr>
      <w:r>
        <w:rPr>
          <w:rFonts w:ascii="Calibri" w:hAnsi="Calibri" w:eastAsia="Calibri"/>
          <w:sz w:val="22"/>
        </w:rPr>
        <w:t xml:space="preserve">☐ </w:t>
      </w:r>
      <w:r>
        <w:rPr>
          <w:rFonts w:ascii="Calibri" w:hAnsi="Calibri" w:eastAsia="Calibri"/>
          <w:b/>
          <w:sz w:val="22"/>
          <w:highlight w:val="yellow"/>
        </w:rPr>
        <w:t>[Variante B — continuation avec les héritiers]</w:t>
      </w:r>
      <w:r>
        <w:rPr>
          <w:rFonts w:ascii="Calibri" w:hAnsi="Calibri" w:eastAsia="Calibri"/>
          <w:sz w:val="22"/>
        </w:rPr>
        <w:t xml:space="preserve"> En cas de décès d’un associé, la société continue avec ses héritiers </w:t>
      </w:r>
      <w:r>
        <w:rPr>
          <w:rFonts w:ascii="Calibri" w:hAnsi="Calibri" w:eastAsia="Calibri"/>
          <w:sz w:val="22"/>
          <w:highlight w:val="yellow"/>
        </w:rPr>
        <w:t>[librement / sous réserve de leur agrément par les associés survivants statuant à l’unanimité]</w:t>
      </w:r>
      <w:r>
        <w:rPr>
          <w:rFonts w:ascii="Calibri" w:hAnsi="Calibri" w:eastAsia="Calibri"/>
          <w:sz w:val="22"/>
        </w:rPr>
        <w:t>. L’héritier qui n’est pas agréé a droit à la valeur des droits sociaux de son auteur, déterminée au jour du décès dans les conditions prévues à l’article 1843-4 du code civil.</w:t>
      </w:r>
    </w:p>
    <w:p>
      <w:pPr>
        <w:spacing w:after="60" w:before="0"/>
        <w:jc w:val="both"/>
      </w:pPr>
      <w:r>
        <w:rPr>
          <w:rFonts w:ascii="Calibri" w:hAnsi="Calibri" w:eastAsia="Calibri"/>
          <w:sz w:val="22"/>
        </w:rPr>
        <w:t xml:space="preserve">☐ </w:t>
      </w:r>
      <w:r>
        <w:rPr>
          <w:rFonts w:ascii="Calibri" w:hAnsi="Calibri" w:eastAsia="Calibri"/>
          <w:b/>
          <w:sz w:val="22"/>
          <w:highlight w:val="yellow"/>
        </w:rPr>
        <w:t>[Variante C]</w:t>
      </w:r>
      <w:r>
        <w:rPr>
          <w:rFonts w:ascii="Calibri" w:hAnsi="Calibri" w:eastAsia="Calibri"/>
          <w:sz w:val="22"/>
        </w:rPr>
        <w:t xml:space="preserve"> En cas de décès d’un associé, la société continue avec </w:t>
      </w:r>
      <w:r>
        <w:rPr>
          <w:rFonts w:ascii="Calibri" w:hAnsi="Calibri" w:eastAsia="Calibri"/>
          <w:sz w:val="22"/>
          <w:highlight w:val="yellow"/>
        </w:rPr>
        <w:t>[le conjoint survivant / un ou plusieurs des héritiers / la personne désignée par les statuts ou, s’ils l’autorisent, par dispositions testamentaires]</w:t>
      </w:r>
      <w:r>
        <w:rPr>
          <w:rFonts w:ascii="Calibri" w:hAnsi="Calibri" w:eastAsia="Calibri"/>
          <w:sz w:val="22"/>
        </w:rPr>
        <w:t>, qui sont redevables à la succession de la valeur des droits sociaux qui leur sont attribués.</w:t>
      </w:r>
    </w:p>
    <w:p>
      <w:pPr>
        <w:spacing w:after="120" w:before="0"/>
        <w:jc w:val="both"/>
      </w:pPr>
      <w:r>
        <w:rPr>
          <w:rFonts w:ascii="Calibri" w:hAnsi="Calibri" w:eastAsia="Calibri"/>
          <w:sz w:val="22"/>
        </w:rPr>
        <w:t>En cas de continuation, si un ou plusieurs héritiers sont mineurs non émancipés, ils ne répondent des dettes sociales qu’à concurrence des forces de la succession de leur auteur et la société doit être transformée, dans le délai d’un an à compter du décès, en société en commandite dont le mineur devient commanditaire ; à défaut, elle est dissoute.</w:t>
      </w:r>
    </w:p>
    <w:p>
      <w:pPr>
        <w:keepNext/>
        <w:spacing w:after="80" w:before="120"/>
      </w:pPr>
      <w:r>
        <w:rPr>
          <w:rFonts w:ascii="Calibri" w:hAnsi="Calibri" w:eastAsia="Calibri"/>
          <w:b/>
          <w:sz w:val="22"/>
        </w:rPr>
        <w:t>Article 12 — Liquidation judiciaire, interdiction ou incapacité d’un associé</w:t>
      </w:r>
    </w:p>
    <w:p>
      <w:pPr>
        <w:spacing w:after="120" w:before="0"/>
        <w:jc w:val="both"/>
      </w:pPr>
      <w:r>
        <w:rPr>
          <w:rFonts w:ascii="Calibri" w:hAnsi="Calibri" w:eastAsia="Calibri"/>
          <w:sz w:val="22"/>
        </w:rPr>
        <w:t xml:space="preserve">Lorsqu’un jugement de liquidation judiciaire ou arrêtant un plan de cession totale, une mesure d’interdiction d’exercer une profession commerciale ou une mesure d’incapacité est devenu définitif à l’égard de l’un des associés, la société </w:t>
      </w:r>
      <w:r>
        <w:rPr>
          <w:rFonts w:ascii="Calibri" w:hAnsi="Calibri" w:eastAsia="Calibri"/>
          <w:sz w:val="22"/>
          <w:highlight w:val="yellow"/>
        </w:rPr>
        <w:t>[continue entre les autres associés / est dissoute, à moins que les autres associés ne décident à l’unanimité de la continuer]</w:t>
      </w:r>
      <w:r>
        <w:rPr>
          <w:rFonts w:ascii="Calibri" w:hAnsi="Calibri" w:eastAsia="Calibri"/>
          <w:sz w:val="22"/>
        </w:rPr>
        <w:t>. En cas de continuation, la valeur des droits sociaux à rembourser à l’associé qui perd cette qualité est déterminée conformément à l’article 1843-4 du code civil.</w:t>
      </w:r>
    </w:p>
    <w:p>
      <w:pPr>
        <w:keepNext/>
        <w:spacing w:after="160" w:before="240"/>
        <w:jc w:val="center"/>
      </w:pPr>
      <w:r>
        <w:rPr>
          <w:rFonts w:ascii="Calibri" w:hAnsi="Calibri" w:eastAsia="Calibri"/>
          <w:b/>
          <w:sz w:val="23"/>
        </w:rPr>
        <w:t>TITRE IV — GÉRANCE</w:t>
      </w:r>
    </w:p>
    <w:p>
      <w:pPr>
        <w:keepNext/>
        <w:spacing w:after="80" w:before="120"/>
      </w:pPr>
      <w:r>
        <w:rPr>
          <w:rFonts w:ascii="Calibri" w:hAnsi="Calibri" w:eastAsia="Calibri"/>
          <w:b/>
          <w:sz w:val="22"/>
        </w:rPr>
        <w:t>Article 13 — Gérance</w:t>
      </w:r>
    </w:p>
    <w:p>
      <w:pPr>
        <w:spacing w:after="60" w:before="0"/>
        <w:jc w:val="both"/>
      </w:pPr>
      <w:r>
        <w:rPr>
          <w:rFonts w:ascii="Calibri" w:hAnsi="Calibri" w:eastAsia="Calibri"/>
          <w:sz w:val="22"/>
        </w:rPr>
        <w:t xml:space="preserve">☐ </w:t>
      </w:r>
      <w:r>
        <w:rPr>
          <w:rFonts w:ascii="Calibri" w:hAnsi="Calibri" w:eastAsia="Calibri"/>
          <w:b/>
          <w:sz w:val="22"/>
          <w:highlight w:val="yellow"/>
        </w:rPr>
        <w:t>[Variante A]</w:t>
      </w:r>
      <w:r>
        <w:rPr>
          <w:rFonts w:ascii="Calibri" w:hAnsi="Calibri" w:eastAsia="Calibri"/>
          <w:sz w:val="22"/>
        </w:rPr>
        <w:t xml:space="preserve"> Tous les associés sont gérants.</w:t>
      </w:r>
    </w:p>
    <w:p>
      <w:pPr>
        <w:spacing w:after="60" w:before="0"/>
        <w:jc w:val="both"/>
      </w:pPr>
      <w:r>
        <w:rPr>
          <w:rFonts w:ascii="Calibri" w:hAnsi="Calibri" w:eastAsia="Calibri"/>
          <w:sz w:val="22"/>
        </w:rPr>
        <w:t xml:space="preserve">☐ </w:t>
      </w:r>
      <w:r>
        <w:rPr>
          <w:rFonts w:ascii="Calibri" w:hAnsi="Calibri" w:eastAsia="Calibri"/>
          <w:b/>
          <w:sz w:val="22"/>
          <w:highlight w:val="yellow"/>
        </w:rPr>
        <w:t>[Variante B]</w:t>
      </w:r>
      <w:r>
        <w:rPr>
          <w:rFonts w:ascii="Calibri" w:hAnsi="Calibri" w:eastAsia="Calibri"/>
          <w:sz w:val="22"/>
        </w:rPr>
        <w:t xml:space="preserve"> La société est gérée par </w:t>
      </w:r>
      <w:r>
        <w:rPr>
          <w:rFonts w:ascii="Calibri" w:hAnsi="Calibri" w:eastAsia="Calibri"/>
          <w:sz w:val="22"/>
          <w:highlight w:val="yellow"/>
        </w:rPr>
        <w:t>[un / plusieurs]</w:t>
      </w:r>
      <w:r>
        <w:rPr>
          <w:rFonts w:ascii="Calibri" w:hAnsi="Calibri" w:eastAsia="Calibri"/>
          <w:sz w:val="22"/>
        </w:rPr>
        <w:t xml:space="preserve"> gérant(s), associé(s) ou non, personne(s) physique(s) ou morale(s) : </w:t>
      </w:r>
      <w:r>
        <w:rPr>
          <w:rFonts w:ascii="Calibri" w:hAnsi="Calibri" w:eastAsia="Calibri"/>
          <w:sz w:val="22"/>
          <w:highlight w:val="yellow"/>
        </w:rPr>
        <w:t>[identité]</w:t>
      </w:r>
      <w:r>
        <w:rPr>
          <w:rFonts w:ascii="Calibri" w:hAnsi="Calibri" w:eastAsia="Calibri"/>
          <w:sz w:val="22"/>
        </w:rPr>
        <w:t xml:space="preserve">, nommé(s) pour une durée </w:t>
      </w:r>
      <w:r>
        <w:rPr>
          <w:rFonts w:ascii="Calibri" w:hAnsi="Calibri" w:eastAsia="Calibri"/>
          <w:sz w:val="22"/>
          <w:highlight w:val="yellow"/>
        </w:rPr>
        <w:t>[indéterminée / de … années]</w:t>
      </w:r>
      <w:r>
        <w:rPr>
          <w:rFonts w:ascii="Calibri" w:hAnsi="Calibri" w:eastAsia="Calibri"/>
          <w:sz w:val="22"/>
        </w:rPr>
        <w:t xml:space="preserve">. Les gérants ultérieurs sont nommés par décision des associés </w:t>
      </w:r>
      <w:r>
        <w:rPr>
          <w:rFonts w:ascii="Calibri" w:hAnsi="Calibri" w:eastAsia="Calibri"/>
          <w:sz w:val="22"/>
          <w:highlight w:val="yellow"/>
        </w:rPr>
        <w:t>[à l’unanimité / à la majorité de …]</w:t>
      </w:r>
      <w:r>
        <w:rPr>
          <w:rFonts w:ascii="Calibri" w:hAnsi="Calibri" w:eastAsia="Calibri"/>
          <w:sz w:val="22"/>
        </w:rPr>
        <w:t>.</w:t>
      </w:r>
    </w:p>
    <w:p>
      <w:pPr>
        <w:spacing w:after="120" w:before="0"/>
        <w:jc w:val="both"/>
      </w:pPr>
      <w:r>
        <w:rPr>
          <w:rFonts w:ascii="Calibri" w:hAnsi="Calibri" w:eastAsia="Calibri"/>
          <w:sz w:val="22"/>
        </w:rPr>
        <w:t>Si une personne morale est gérant, ses dirigeants sont soumis aux mêmes conditions et obligations et encourent les mêmes responsabilités civile et pénale que s’ils étaient gérants en leur nom propre, sans préjudice de la responsabilité solidaire de la personne morale qu’ils dirigent.</w:t>
      </w:r>
    </w:p>
    <w:p>
      <w:pPr>
        <w:keepNext/>
        <w:spacing w:after="80" w:before="80"/>
      </w:pPr>
      <w:r>
        <w:rPr>
          <w:rFonts w:ascii="Calibri" w:hAnsi="Calibri" w:eastAsia="Calibri"/>
          <w:b/>
          <w:sz w:val="22"/>
        </w:rPr>
        <w:t>Pouvoirs</w:t>
      </w:r>
    </w:p>
    <w:p>
      <w:pPr>
        <w:spacing w:after="120" w:before="0"/>
        <w:jc w:val="both"/>
      </w:pPr>
      <w:r>
        <w:rPr>
          <w:rFonts w:ascii="Calibri" w:hAnsi="Calibri" w:eastAsia="Calibri"/>
          <w:sz w:val="22"/>
        </w:rPr>
        <w:t xml:space="preserve">Dans les rapports entre associés, le gérant peut faire tous actes de gestion dans l’intérêt de la société </w:t>
      </w:r>
      <w:r>
        <w:rPr>
          <w:rFonts w:ascii="Calibri" w:hAnsi="Calibri" w:eastAsia="Calibri"/>
          <w:sz w:val="22"/>
          <w:highlight w:val="yellow"/>
        </w:rPr>
        <w:t>[à l’exception des actes suivants, qui requièrent l’accord préalable des associés : …]</w:t>
      </w:r>
      <w:r>
        <w:rPr>
          <w:rFonts w:ascii="Calibri" w:hAnsi="Calibri" w:eastAsia="Calibri"/>
          <w:sz w:val="22"/>
        </w:rPr>
        <w:t>. En cas de pluralité de gérants, chacun détient séparément ces pouvoirs, sauf le droit pour chacun de s’opposer à toute opération avant qu’elle soit conclue.</w:t>
      </w:r>
    </w:p>
    <w:p>
      <w:pPr>
        <w:spacing w:after="120" w:before="0"/>
        <w:jc w:val="both"/>
      </w:pPr>
      <w:r>
        <w:rPr>
          <w:rFonts w:ascii="Calibri" w:hAnsi="Calibri" w:eastAsia="Calibri"/>
          <w:sz w:val="22"/>
        </w:rPr>
        <w:t>Dans les rapports avec les tiers, le gérant engage la société par les actes entrant dans l’objet social. L’opposition formée par un gérant aux actes d’un autre gérant est sans effet à l’égard des tiers, à moins qu’il ne soit établi qu’ils en ont eu connaissance. Les clauses statutaires limitant les pouvoirs des gérants sont inopposables aux tiers.</w:t>
      </w:r>
    </w:p>
    <w:p>
      <w:pPr>
        <w:keepNext/>
        <w:spacing w:after="80" w:before="80"/>
      </w:pPr>
      <w:r>
        <w:rPr>
          <w:rFonts w:ascii="Calibri" w:hAnsi="Calibri" w:eastAsia="Calibri"/>
          <w:b/>
          <w:sz w:val="22"/>
        </w:rPr>
        <w:t>Rémunération</w:t>
      </w:r>
    </w:p>
    <w:p>
      <w:pPr>
        <w:spacing w:after="120" w:before="0"/>
        <w:jc w:val="both"/>
      </w:pPr>
      <w:r>
        <w:rPr>
          <w:rFonts w:ascii="Calibri" w:hAnsi="Calibri" w:eastAsia="Calibri"/>
          <w:sz w:val="22"/>
        </w:rPr>
        <w:t xml:space="preserve">Les fonctions de gérant sont exercées </w:t>
      </w:r>
      <w:r>
        <w:rPr>
          <w:rFonts w:ascii="Calibri" w:hAnsi="Calibri" w:eastAsia="Calibri"/>
          <w:sz w:val="22"/>
          <w:highlight w:val="yellow"/>
        </w:rPr>
        <w:t>[à titre gratuit / moyennant une rémunération fixée par décision des associés]</w:t>
      </w:r>
      <w:r>
        <w:rPr>
          <w:rFonts w:ascii="Calibri" w:hAnsi="Calibri" w:eastAsia="Calibri"/>
          <w:sz w:val="22"/>
        </w:rPr>
        <w:t xml:space="preserve"> ; les frais engagés dans l’intérêt de la société sont remboursés sur justificatifs.</w:t>
      </w:r>
    </w:p>
    <w:p>
      <w:pPr>
        <w:keepNext/>
        <w:spacing w:after="80" w:before="80"/>
      </w:pPr>
      <w:r>
        <w:rPr>
          <w:rFonts w:ascii="Calibri" w:hAnsi="Calibri" w:eastAsia="Calibri"/>
          <w:b/>
          <w:sz w:val="22"/>
        </w:rPr>
        <w:t>Révocation</w:t>
      </w:r>
    </w:p>
    <w:p>
      <w:pPr>
        <w:spacing w:after="120" w:before="0"/>
        <w:jc w:val="both"/>
      </w:pPr>
      <w:r>
        <w:rPr>
          <w:rFonts w:ascii="Calibri" w:hAnsi="Calibri" w:eastAsia="Calibri"/>
          <w:sz w:val="22"/>
        </w:rPr>
        <w:t xml:space="preserve">Si tous les associés sont gérants ou si un ou plusieurs gérants associés sont désignés dans les statuts, la révocation de l’un d’eux ne peut être décidée qu’à l’unanimité des autres associés. </w:t>
      </w:r>
      <w:r>
        <w:rPr>
          <w:rFonts w:ascii="Calibri" w:hAnsi="Calibri" w:eastAsia="Calibri"/>
          <w:sz w:val="22"/>
          <w:highlight w:val="yellow"/>
        </w:rPr>
        <w:t>[Option : la société continue alors entre les autres associés.]</w:t>
      </w:r>
      <w:r>
        <w:rPr>
          <w:rFonts w:ascii="Calibri" w:hAnsi="Calibri" w:eastAsia="Calibri"/>
          <w:sz w:val="22"/>
        </w:rPr>
        <w:t xml:space="preserve"> À défaut de stipulation de continuation ou de décision unanime des autres associés de continuer la société, la révocation entraîne sa dissolution. Le gérant révoqué peut décider de se retirer de la société en demandant le remboursement de ses droits sociaux, dont la valeur est déterminée conformément à l’article 1843-4 du code civil.</w:t>
      </w:r>
    </w:p>
    <w:p>
      <w:pPr>
        <w:spacing w:after="120" w:before="0"/>
        <w:jc w:val="both"/>
      </w:pPr>
      <w:r>
        <w:rPr>
          <w:rFonts w:ascii="Calibri" w:hAnsi="Calibri" w:eastAsia="Calibri"/>
          <w:sz w:val="22"/>
        </w:rPr>
        <w:t xml:space="preserve">Le gérant associé non désigné dans les statuts peut être révoqué </w:t>
      </w:r>
      <w:r>
        <w:rPr>
          <w:rFonts w:ascii="Calibri" w:hAnsi="Calibri" w:eastAsia="Calibri"/>
          <w:sz w:val="22"/>
          <w:highlight w:val="yellow"/>
        </w:rPr>
        <w:t>[dans les conditions suivantes : … / par décision des autres associés prise à l’unanimité]</w:t>
      </w:r>
      <w:r>
        <w:rPr>
          <w:rFonts w:ascii="Calibri" w:hAnsi="Calibri" w:eastAsia="Calibri"/>
          <w:sz w:val="22"/>
        </w:rPr>
        <w:t xml:space="preserve">. Le gérant non associé peut être révoqué </w:t>
      </w:r>
      <w:r>
        <w:rPr>
          <w:rFonts w:ascii="Calibri" w:hAnsi="Calibri" w:eastAsia="Calibri"/>
          <w:sz w:val="22"/>
          <w:highlight w:val="yellow"/>
        </w:rPr>
        <w:t>[dans les conditions suivantes : … / par décision des associés prise à la majorité]</w:t>
      </w:r>
      <w:r>
        <w:rPr>
          <w:rFonts w:ascii="Calibri" w:hAnsi="Calibri" w:eastAsia="Calibri"/>
          <w:sz w:val="22"/>
        </w:rPr>
        <w:t>. Si la révocation est décidée sans juste motif, elle peut donner lieu à dommages-intérêts.</w:t>
      </w:r>
    </w:p>
    <w:p>
      <w:pPr>
        <w:keepNext/>
        <w:spacing w:after="160" w:before="240"/>
        <w:jc w:val="center"/>
      </w:pPr>
      <w:r>
        <w:rPr>
          <w:rFonts w:ascii="Calibri" w:hAnsi="Calibri" w:eastAsia="Calibri"/>
          <w:b/>
          <w:sz w:val="23"/>
        </w:rPr>
        <w:t>TITRE V — DÉCISIONS COLLECTIVES DES ASSOCIÉS</w:t>
      </w:r>
    </w:p>
    <w:p>
      <w:pPr>
        <w:keepNext/>
        <w:spacing w:after="80" w:before="120"/>
      </w:pPr>
      <w:r>
        <w:rPr>
          <w:rFonts w:ascii="Calibri" w:hAnsi="Calibri" w:eastAsia="Calibri"/>
          <w:b/>
          <w:sz w:val="22"/>
        </w:rPr>
        <w:t>Article 14 — Décisions collectives</w:t>
      </w:r>
    </w:p>
    <w:p>
      <w:pPr>
        <w:spacing w:after="120" w:before="0"/>
        <w:jc w:val="both"/>
      </w:pPr>
      <w:r>
        <w:rPr>
          <w:rFonts w:ascii="Calibri" w:hAnsi="Calibri" w:eastAsia="Calibri"/>
          <w:sz w:val="22"/>
        </w:rPr>
        <w:t xml:space="preserve">Les décisions qui excèdent les pouvoirs reconnus aux gérants sont prises à l’unanimité des associés. </w:t>
      </w:r>
      <w:r>
        <w:rPr>
          <w:rFonts w:ascii="Calibri" w:hAnsi="Calibri" w:eastAsia="Calibri"/>
          <w:sz w:val="22"/>
          <w:highlight w:val="yellow"/>
        </w:rPr>
        <w:t>[Option : toutefois, les décisions suivantes sont prises à la majorité de … : approbation des comptes et affectation du résultat ; nomination d’un commissaire aux comptes ; … — la cession de parts reste soumise au consentement de tous les associés.]</w:t>
      </w:r>
    </w:p>
    <w:p>
      <w:pPr>
        <w:spacing w:after="120" w:before="0"/>
        <w:jc w:val="both"/>
      </w:pPr>
      <w:r>
        <w:rPr>
          <w:rFonts w:ascii="Calibri" w:hAnsi="Calibri" w:eastAsia="Calibri"/>
          <w:sz w:val="22"/>
        </w:rPr>
        <w:t>Les décisions sont prises en assemblée ou, à l’initiative de la gérance, par consultation écrite, y compris par voie électronique, à moins que la réunion d’une assemblée ne soit demandée par l’un des associés. Elles peuvent aussi résulter du consentement de tous les associés exprimé dans un acte.</w:t>
      </w:r>
    </w:p>
    <w:p>
      <w:pPr>
        <w:spacing w:after="120" w:before="0"/>
        <w:jc w:val="both"/>
      </w:pPr>
      <w:r>
        <w:rPr>
          <w:rFonts w:ascii="Calibri" w:hAnsi="Calibri" w:eastAsia="Calibri"/>
          <w:b/>
          <w:sz w:val="22"/>
        </w:rPr>
        <w:t xml:space="preserve">Convocation. </w:t>
      </w:r>
      <w:r>
        <w:rPr>
          <w:rFonts w:ascii="Calibri" w:hAnsi="Calibri" w:eastAsia="Calibri"/>
          <w:sz w:val="22"/>
        </w:rPr>
        <w:t xml:space="preserve">Les associés sont convoqués par la gérance </w:t>
      </w:r>
      <w:r>
        <w:rPr>
          <w:rFonts w:ascii="Calibri" w:hAnsi="Calibri" w:eastAsia="Calibri"/>
          <w:sz w:val="22"/>
          <w:highlight w:val="yellow"/>
        </w:rPr>
        <w:t>[quinze]</w:t>
      </w:r>
      <w:r>
        <w:rPr>
          <w:rFonts w:ascii="Calibri" w:hAnsi="Calibri" w:eastAsia="Calibri"/>
          <w:sz w:val="22"/>
        </w:rPr>
        <w:t xml:space="preserve"> jours au moins avant la réunion, par </w:t>
      </w:r>
      <w:r>
        <w:rPr>
          <w:rFonts w:ascii="Calibri" w:hAnsi="Calibri" w:eastAsia="Calibri"/>
          <w:sz w:val="22"/>
          <w:highlight w:val="yellow"/>
        </w:rPr>
        <w:t>[lettre recommandée avec demande d’avis de réception / courrier électronique avec accusé de réception]</w:t>
      </w:r>
      <w:r>
        <w:rPr>
          <w:rFonts w:ascii="Calibri" w:hAnsi="Calibri" w:eastAsia="Calibri"/>
          <w:sz w:val="22"/>
        </w:rPr>
        <w:t xml:space="preserve">, avec l’ordre du jour. En cas de consultation écrite, le texte des résolutions et les documents utiles sont adressés à chaque associé, qui dispose d’un délai de </w:t>
      </w:r>
      <w:r>
        <w:rPr>
          <w:rFonts w:ascii="Calibri" w:hAnsi="Calibri" w:eastAsia="Calibri"/>
          <w:sz w:val="22"/>
          <w:highlight w:val="yellow"/>
        </w:rPr>
        <w:t>[quinze]</w:t>
      </w:r>
      <w:r>
        <w:rPr>
          <w:rFonts w:ascii="Calibri" w:hAnsi="Calibri" w:eastAsia="Calibri"/>
          <w:sz w:val="22"/>
        </w:rPr>
        <w:t xml:space="preserve"> jours à compter de leur réception pour voter par écrit.</w:t>
      </w:r>
    </w:p>
    <w:p>
      <w:pPr>
        <w:spacing w:after="120" w:before="0"/>
        <w:jc w:val="both"/>
      </w:pPr>
      <w:r>
        <w:rPr>
          <w:rFonts w:ascii="Calibri" w:hAnsi="Calibri" w:eastAsia="Calibri"/>
          <w:b/>
          <w:sz w:val="22"/>
        </w:rPr>
        <w:t xml:space="preserve">Représentation. </w:t>
      </w:r>
      <w:r>
        <w:rPr>
          <w:rFonts w:ascii="Calibri" w:hAnsi="Calibri" w:eastAsia="Calibri"/>
          <w:sz w:val="22"/>
        </w:rPr>
        <w:t xml:space="preserve">Un associé peut se faire représenter par un autre associé </w:t>
      </w:r>
      <w:r>
        <w:rPr>
          <w:rFonts w:ascii="Calibri" w:hAnsi="Calibri" w:eastAsia="Calibri"/>
          <w:sz w:val="22"/>
          <w:highlight w:val="yellow"/>
        </w:rPr>
        <w:t>[ou par son conjoint]</w:t>
      </w:r>
      <w:r>
        <w:rPr>
          <w:rFonts w:ascii="Calibri" w:hAnsi="Calibri" w:eastAsia="Calibri"/>
          <w:sz w:val="22"/>
        </w:rPr>
        <w:t>, muni d’un pouvoir écrit.</w:t>
      </w:r>
    </w:p>
    <w:p>
      <w:pPr>
        <w:spacing w:after="120" w:before="0"/>
        <w:jc w:val="both"/>
      </w:pPr>
      <w:r>
        <w:rPr>
          <w:rFonts w:ascii="Calibri" w:hAnsi="Calibri" w:eastAsia="Calibri"/>
          <w:b/>
          <w:sz w:val="22"/>
        </w:rPr>
        <w:t xml:space="preserve">Procès-verbaux. </w:t>
      </w:r>
      <w:r>
        <w:rPr>
          <w:rFonts w:ascii="Calibri" w:hAnsi="Calibri" w:eastAsia="Calibri"/>
          <w:sz w:val="22"/>
        </w:rPr>
        <w:t>Toute délibération des associés est constatée par un procès-verbal indiquant la date et le lieu de la réunion, les nom et prénoms des associés présents, les documents et rapports soumis à discussion, un résumé des débats, le texte des résolutions mises aux voix et le résultat des votes ; il est signé par chacun des associés présents. Lorsque tous les associés sont gérants, seules les décisions qui excèdent les pouvoirs des gérants sont soumises à ces dispositions. En cas de consultation écrite, la réponse de chaque associé est annexée au procès-verbal, qui est signé par les gérants. Les procès-verbaux sont établis sur un registre spécial tenu au siège social, coté et paraphé dans les conditions réglementaires, ou sous forme électronique ; les copies ou extraits sont certifiés par un seul gérant.</w:t>
      </w:r>
    </w:p>
    <w:p>
      <w:pPr>
        <w:keepNext/>
        <w:spacing w:after="80" w:before="120"/>
      </w:pPr>
      <w:r>
        <w:rPr>
          <w:rFonts w:ascii="Calibri" w:hAnsi="Calibri" w:eastAsia="Calibri"/>
          <w:b/>
          <w:sz w:val="22"/>
        </w:rPr>
        <w:t>Article 15 — Droit de communication</w:t>
      </w:r>
    </w:p>
    <w:p>
      <w:pPr>
        <w:spacing w:after="120" w:before="0"/>
        <w:jc w:val="both"/>
      </w:pPr>
      <w:r>
        <w:rPr>
          <w:rFonts w:ascii="Calibri" w:hAnsi="Calibri" w:eastAsia="Calibri"/>
          <w:sz w:val="22"/>
        </w:rPr>
        <w:t>Les associés non gérants ont le droit, deux fois par an, d’obtenir communication des livres et documents sociaux et de poser par écrit des questions sur la gestion sociale, auxquelles il doit être répondu également par écrit.</w:t>
      </w:r>
    </w:p>
    <w:p>
      <w:pPr>
        <w:keepNext/>
        <w:spacing w:after="160" w:before="240"/>
        <w:jc w:val="center"/>
      </w:pPr>
      <w:r>
        <w:rPr>
          <w:rFonts w:ascii="Calibri" w:hAnsi="Calibri" w:eastAsia="Calibri"/>
          <w:b/>
          <w:sz w:val="23"/>
        </w:rPr>
        <w:t>TITRE VI — EXERCICE SOCIAL — COMPTES — RÉSULTAT</w:t>
      </w:r>
    </w:p>
    <w:p>
      <w:pPr>
        <w:keepNext/>
        <w:spacing w:after="80" w:before="120"/>
      </w:pPr>
      <w:r>
        <w:rPr>
          <w:rFonts w:ascii="Calibri" w:hAnsi="Calibri" w:eastAsia="Calibri"/>
          <w:b/>
          <w:sz w:val="22"/>
        </w:rPr>
        <w:t>Article 16 — Exercice social</w:t>
      </w:r>
    </w:p>
    <w:p>
      <w:pPr>
        <w:spacing w:after="120" w:before="0"/>
        <w:jc w:val="both"/>
      </w:pPr>
      <w:r>
        <w:rPr>
          <w:rFonts w:ascii="Calibri" w:hAnsi="Calibri" w:eastAsia="Calibri"/>
          <w:sz w:val="22"/>
        </w:rPr>
        <w:t xml:space="preserve">L’exercice social commence le </w:t>
      </w:r>
      <w:r>
        <w:rPr>
          <w:rFonts w:ascii="Calibri" w:hAnsi="Calibri" w:eastAsia="Calibri"/>
          <w:sz w:val="22"/>
          <w:highlight w:val="yellow"/>
        </w:rPr>
        <w:t>[1er janvier]</w:t>
      </w:r>
      <w:r>
        <w:rPr>
          <w:rFonts w:ascii="Calibri" w:hAnsi="Calibri" w:eastAsia="Calibri"/>
          <w:sz w:val="22"/>
        </w:rPr>
        <w:t xml:space="preserve"> et se termine le </w:t>
      </w:r>
      <w:r>
        <w:rPr>
          <w:rFonts w:ascii="Calibri" w:hAnsi="Calibri" w:eastAsia="Calibri"/>
          <w:sz w:val="22"/>
          <w:highlight w:val="yellow"/>
        </w:rPr>
        <w:t>[31 décembre]</w:t>
      </w:r>
      <w:r>
        <w:rPr>
          <w:rFonts w:ascii="Calibri" w:hAnsi="Calibri" w:eastAsia="Calibri"/>
          <w:sz w:val="22"/>
        </w:rPr>
        <w:t xml:space="preserve"> de chaque année.</w:t>
      </w:r>
    </w:p>
    <w:p>
      <w:pPr>
        <w:spacing w:after="120" w:before="0"/>
        <w:jc w:val="both"/>
      </w:pPr>
      <w:r>
        <w:rPr>
          <w:rFonts w:ascii="Calibri" w:hAnsi="Calibri" w:eastAsia="Calibri"/>
          <w:sz w:val="22"/>
        </w:rPr>
        <w:t xml:space="preserve">Par exception, le premier exercice commence à la date d’immatriculation de la société au registre du commerce et des sociétés et se termine le </w:t>
      </w:r>
      <w:r>
        <w:rPr>
          <w:rFonts w:ascii="Calibri" w:hAnsi="Calibri" w:eastAsia="Calibri"/>
          <w:sz w:val="22"/>
          <w:highlight w:val="yellow"/>
        </w:rPr>
        <w:t>[date de clôture du premier exercice]</w:t>
      </w:r>
      <w:r>
        <w:rPr>
          <w:rFonts w:ascii="Calibri" w:hAnsi="Calibri" w:eastAsia="Calibri"/>
          <w:sz w:val="22"/>
        </w:rPr>
        <w:t>.</w:t>
      </w:r>
    </w:p>
    <w:p>
      <w:pPr>
        <w:keepNext/>
        <w:spacing w:after="80" w:before="120"/>
      </w:pPr>
      <w:r>
        <w:rPr>
          <w:rFonts w:ascii="Calibri" w:hAnsi="Calibri" w:eastAsia="Calibri"/>
          <w:b/>
          <w:sz w:val="22"/>
        </w:rPr>
        <w:t>Article 17 — Comptes annuels</w:t>
      </w:r>
    </w:p>
    <w:p>
      <w:pPr>
        <w:spacing w:after="120" w:before="0"/>
        <w:jc w:val="both"/>
      </w:pPr>
      <w:r>
        <w:rPr>
          <w:rFonts w:ascii="Calibri" w:hAnsi="Calibri" w:eastAsia="Calibri"/>
          <w:sz w:val="22"/>
        </w:rPr>
        <w:t>Le rapport de gestion, l’inventaire et les comptes annuels établis par les gérants sont soumis à l’approbation de l’assemblée des associés dans le délai de six mois à compter de la clôture de l’exercice. Ces documents, le texte des résolutions proposées et, le cas échéant, le rapport du commissaire aux comptes sont adressés aux associés quinze jours au moins avant l’assemblée, l’inventaire étant tenu à leur disposition au siège social ; ces formalités ne s’appliquent pas lorsque tous les associés sont gérants.</w:t>
      </w:r>
    </w:p>
    <w:p>
      <w:pPr>
        <w:spacing w:after="120" w:before="0"/>
        <w:jc w:val="both"/>
      </w:pPr>
      <w:r>
        <w:rPr>
          <w:rFonts w:ascii="Calibri" w:hAnsi="Calibri" w:eastAsia="Calibri"/>
          <w:sz w:val="22"/>
        </w:rPr>
        <w:t>Les associés peuvent nommer un ou plusieurs commissaires aux comptes ; cette nomination est obligatoire lorsque la société dépasse, à la clôture d’un exercice, deux des trois seuils fixés par décret, et peut être demandée en justice par tout associé. La société est également tenue de désigner un commissaire aux comptes, pour un mandat de trois exercices, lorsqu’un ou plusieurs associés représentant au moins le tiers du capital en font la demande motivée auprès d’elle.</w:t>
      </w:r>
    </w:p>
    <w:p>
      <w:pPr>
        <w:keepNext/>
        <w:spacing w:after="80" w:before="120"/>
      </w:pPr>
      <w:r>
        <w:rPr>
          <w:rFonts w:ascii="Calibri" w:hAnsi="Calibri" w:eastAsia="Calibri"/>
          <w:b/>
          <w:sz w:val="22"/>
        </w:rPr>
        <w:t>Article 18 — Affectation et répartition du résultat</w:t>
      </w:r>
    </w:p>
    <w:p>
      <w:pPr>
        <w:spacing w:after="120" w:before="0"/>
        <w:jc w:val="both"/>
      </w:pPr>
      <w:r>
        <w:rPr>
          <w:rFonts w:ascii="Calibri" w:hAnsi="Calibri" w:eastAsia="Calibri"/>
          <w:sz w:val="22"/>
        </w:rPr>
        <w:t xml:space="preserve">Les associés décident, lors de l’approbation des comptes, de l’affectation du résultat : distribution, mise en réserve ou report à nouveau. </w:t>
      </w:r>
      <w:r>
        <w:rPr>
          <w:rFonts w:ascii="Calibri" w:hAnsi="Calibri" w:eastAsia="Calibri"/>
          <w:sz w:val="22"/>
          <w:highlight w:val="yellow"/>
        </w:rPr>
        <w:t>[Option : il est prélevé chaque année … % du bénéfice pour constituer une réserve statutaire, jusqu’à ce qu’elle atteigne … €.]</w:t>
      </w:r>
    </w:p>
    <w:p>
      <w:pPr>
        <w:spacing w:after="120" w:before="0"/>
        <w:jc w:val="both"/>
      </w:pPr>
      <w:r>
        <w:rPr>
          <w:rFonts w:ascii="Calibri" w:hAnsi="Calibri" w:eastAsia="Calibri"/>
          <w:sz w:val="22"/>
        </w:rPr>
        <w:t xml:space="preserve">Les bénéfices et les pertes sont répartis entre les associés à proportion de leurs droits dans le capital, </w:t>
      </w:r>
      <w:r>
        <w:rPr>
          <w:rFonts w:ascii="Calibri" w:hAnsi="Calibri" w:eastAsia="Calibri"/>
          <w:sz w:val="22"/>
          <w:highlight w:val="yellow"/>
        </w:rPr>
        <w:t>[ou selon la répartition prévue à l’article 8]</w:t>
      </w:r>
      <w:r>
        <w:rPr>
          <w:rFonts w:ascii="Calibri" w:hAnsi="Calibri" w:eastAsia="Calibri"/>
          <w:sz w:val="22"/>
        </w:rPr>
        <w:t>. Les sommes revenant aux associés sont portées au crédit de leur compte courant ou leur sont versées selon les modalités arrêtées par la décision d’affectation.</w:t>
      </w:r>
    </w:p>
    <w:p>
      <w:pPr>
        <w:keepNext/>
        <w:spacing w:after="160" w:before="240"/>
        <w:jc w:val="center"/>
      </w:pPr>
      <w:r>
        <w:rPr>
          <w:rFonts w:ascii="Calibri" w:hAnsi="Calibri" w:eastAsia="Calibri"/>
          <w:b/>
          <w:sz w:val="23"/>
        </w:rPr>
        <w:t>TITRE VII — DISSOLUTION — LIQUIDATION — CONTESTATIONS</w:t>
      </w:r>
    </w:p>
    <w:p>
      <w:pPr>
        <w:keepNext/>
        <w:spacing w:after="80" w:before="120"/>
      </w:pPr>
      <w:r>
        <w:rPr>
          <w:rFonts w:ascii="Calibri" w:hAnsi="Calibri" w:eastAsia="Calibri"/>
          <w:b/>
          <w:sz w:val="22"/>
        </w:rPr>
        <w:t>Article 19 — Dissolution — Liquidation</w:t>
      </w:r>
    </w:p>
    <w:p>
      <w:pPr>
        <w:spacing w:after="120" w:before="0"/>
        <w:jc w:val="both"/>
      </w:pPr>
      <w:r>
        <w:rPr>
          <w:rFonts w:ascii="Calibri" w:hAnsi="Calibri" w:eastAsia="Calibri"/>
          <w:sz w:val="22"/>
        </w:rPr>
        <w:t xml:space="preserve">Outre les causes prévues par la loi et par les présents statuts, la dissolution anticipée peut être décidée par les associés à l’unanimité </w:t>
      </w:r>
      <w:r>
        <w:rPr>
          <w:rFonts w:ascii="Calibri" w:hAnsi="Calibri" w:eastAsia="Calibri"/>
          <w:sz w:val="22"/>
          <w:highlight w:val="yellow"/>
        </w:rPr>
        <w:t>[ou à la majorité de …]</w:t>
      </w:r>
      <w:r>
        <w:rPr>
          <w:rFonts w:ascii="Calibri" w:hAnsi="Calibri" w:eastAsia="Calibri"/>
          <w:sz w:val="22"/>
        </w:rPr>
        <w:t>.</w:t>
      </w:r>
    </w:p>
    <w:p>
      <w:pPr>
        <w:spacing w:after="120" w:before="0"/>
        <w:jc w:val="both"/>
      </w:pPr>
      <w:r>
        <w:rPr>
          <w:rFonts w:ascii="Calibri" w:hAnsi="Calibri" w:eastAsia="Calibri"/>
          <w:sz w:val="22"/>
        </w:rPr>
        <w:t xml:space="preserve">La société est en liquidation dès l’instant de sa dissolution. Sa dénomination est alors suivie de la mention « société en liquidation » et sa personnalité morale subsiste pour les besoins de la liquidation jusqu’à la publication de la clôture de celle-ci. La liquidation est faite par </w:t>
      </w:r>
      <w:r>
        <w:rPr>
          <w:rFonts w:ascii="Calibri" w:hAnsi="Calibri" w:eastAsia="Calibri"/>
          <w:sz w:val="22"/>
          <w:highlight w:val="yellow"/>
        </w:rPr>
        <w:t>[le ou les gérants / un ou plusieurs liquidateurs nommés par les associés]</w:t>
      </w:r>
      <w:r>
        <w:rPr>
          <w:rFonts w:ascii="Calibri" w:hAnsi="Calibri" w:eastAsia="Calibri"/>
          <w:sz w:val="22"/>
        </w:rPr>
        <w:t>, dont le mandat ne peut excéder trois ans, sauf renouvellement. Le boni ou la perte de liquidation est réparti entre les associés selon la répartition prévue pour les bénéfices et les pertes.</w:t>
      </w:r>
    </w:p>
    <w:p>
      <w:pPr>
        <w:keepNext/>
        <w:spacing w:after="80" w:before="120"/>
      </w:pPr>
      <w:r>
        <w:rPr>
          <w:rFonts w:ascii="Calibri" w:hAnsi="Calibri" w:eastAsia="Calibri"/>
          <w:b/>
          <w:sz w:val="22"/>
        </w:rPr>
        <w:t>Article 20 — Contestations</w:t>
      </w:r>
    </w:p>
    <w:p>
      <w:pPr>
        <w:spacing w:after="120" w:before="0"/>
        <w:jc w:val="both"/>
      </w:pPr>
      <w:r>
        <w:rPr>
          <w:rFonts w:ascii="Calibri" w:hAnsi="Calibri" w:eastAsia="Calibri"/>
          <w:sz w:val="22"/>
        </w:rPr>
        <w:t>Toutes les contestations qui pourraient s’élever pendant la durée de la société ou lors de sa liquidation, soit entre les associés, soit entre la société et les associés, relativement aux affaires sociales ou à l’exécution des présents statuts, sont soumises aux juridictions compétentes du lieu du siège social.</w:t>
      </w:r>
    </w:p>
    <w:p>
      <w:pPr>
        <w:spacing w:after="120" w:before="0"/>
        <w:jc w:val="both"/>
      </w:pPr>
      <w:r>
        <w:rPr>
          <w:rFonts w:ascii="Calibri" w:hAnsi="Calibri" w:eastAsia="Calibri"/>
          <w:b/>
          <w:sz w:val="22"/>
          <w:highlight w:val="yellow"/>
        </w:rPr>
        <w:t>[Option — règlement amiable préalable]</w:t>
      </w:r>
      <w:r>
        <w:rPr>
          <w:rFonts w:ascii="Calibri" w:hAnsi="Calibri" w:eastAsia="Calibri"/>
          <w:sz w:val="22"/>
        </w:rPr>
        <w:t xml:space="preserve"> </w:t>
      </w:r>
      <w:r>
        <w:rPr>
          <w:rFonts w:ascii="Calibri" w:hAnsi="Calibri" w:eastAsia="Calibri"/>
          <w:sz w:val="22"/>
        </w:rPr>
        <w:t xml:space="preserve">Avant toute action, les parties s’efforcent de résoudre leur différend à l’amiable, le cas échéant par une médiation ; à défaut d’accord dans un délai de </w:t>
      </w:r>
      <w:r>
        <w:rPr>
          <w:rFonts w:ascii="Calibri" w:hAnsi="Calibri" w:eastAsia="Calibri"/>
          <w:sz w:val="22"/>
          <w:highlight w:val="yellow"/>
        </w:rPr>
        <w:t>[un mois]</w:t>
      </w:r>
      <w:r>
        <w:rPr>
          <w:rFonts w:ascii="Calibri" w:hAnsi="Calibri" w:eastAsia="Calibri"/>
          <w:sz w:val="22"/>
        </w:rPr>
        <w:t xml:space="preserve"> à compter de la demande écrite de l’une d’elles, la partie la plus diligente peut saisir la juridiction compétente.</w:t>
      </w:r>
    </w:p>
    <w:p>
      <w:pPr>
        <w:keepNext/>
        <w:spacing w:after="160" w:before="240"/>
        <w:jc w:val="center"/>
      </w:pPr>
      <w:r>
        <w:rPr>
          <w:rFonts w:ascii="Calibri" w:hAnsi="Calibri" w:eastAsia="Calibri"/>
          <w:b/>
          <w:sz w:val="23"/>
        </w:rPr>
        <w:t>TITRE VIII — DISPOSITIONS TRANSITOIRES ET FINALES</w:t>
      </w:r>
    </w:p>
    <w:p>
      <w:pPr>
        <w:keepNext/>
        <w:spacing w:after="80" w:before="120"/>
      </w:pPr>
      <w:r>
        <w:rPr>
          <w:rFonts w:ascii="Calibri" w:hAnsi="Calibri" w:eastAsia="Calibri"/>
          <w:b/>
          <w:sz w:val="22"/>
        </w:rPr>
        <w:t>Article 21 — Premiers gérants</w:t>
      </w:r>
    </w:p>
    <w:p>
      <w:pPr>
        <w:spacing w:after="120" w:before="0"/>
        <w:jc w:val="both"/>
      </w:pPr>
      <w:r>
        <w:rPr>
          <w:rFonts w:ascii="Calibri" w:hAnsi="Calibri" w:eastAsia="Calibri"/>
          <w:sz w:val="22"/>
          <w:highlight w:val="yellow"/>
        </w:rPr>
        <w:t>[Variante A : tous les associés sont gérants. / Variante B : est nommé premier gérant, pour une durée …, … ]</w:t>
      </w:r>
      <w:r>
        <w:rPr>
          <w:rFonts w:ascii="Calibri" w:hAnsi="Calibri" w:eastAsia="Calibri"/>
          <w:sz w:val="22"/>
        </w:rPr>
        <w:t xml:space="preserve"> Le ou les gérants déclarent accepter leurs fonctions et n’être frappés d’aucune incompatibilité, interdiction ou déchéance susceptible d’en empêcher l’exercice.</w:t>
      </w:r>
    </w:p>
    <w:p>
      <w:pPr>
        <w:keepNext/>
        <w:spacing w:after="80" w:before="120"/>
      </w:pPr>
      <w:r>
        <w:rPr>
          <w:rFonts w:ascii="Calibri" w:hAnsi="Calibri" w:eastAsia="Calibri"/>
          <w:b/>
          <w:sz w:val="22"/>
        </w:rPr>
        <w:t>Article 22 — Actes accomplis pour le compte de la société en formation</w:t>
      </w:r>
    </w:p>
    <w:p>
      <w:pPr>
        <w:spacing w:after="120" w:before="0"/>
        <w:jc w:val="both"/>
      </w:pPr>
      <w:r>
        <w:rPr>
          <w:rFonts w:ascii="Calibri" w:hAnsi="Calibri" w:eastAsia="Calibri"/>
          <w:sz w:val="22"/>
        </w:rPr>
        <w:t>Un état des actes accomplis pour le compte de la société en formation, avec l’indication, pour chacun d’eux, de l’engagement qui en résulterait pour la société, a été présenté aux associés avant la signature des présents statuts. Cet état est annexé aux statuts (annexe 1).</w:t>
      </w:r>
    </w:p>
    <w:p>
      <w:pPr>
        <w:spacing w:after="120" w:before="0"/>
        <w:jc w:val="both"/>
      </w:pPr>
      <w:r>
        <w:rPr>
          <w:rFonts w:ascii="Calibri" w:hAnsi="Calibri" w:eastAsia="Calibri"/>
          <w:sz w:val="22"/>
        </w:rPr>
        <w:t>La signature des statuts emportera reprise de ces engagements par la société lorsque celle-ci aura été immatriculée au registre du commerce et des sociétés ; ils seront alors réputés avoir été souscrits dès l’origine par la société.</w:t>
      </w:r>
    </w:p>
    <w:p>
      <w:pPr>
        <w:spacing w:after="120" w:before="0"/>
        <w:jc w:val="both"/>
      </w:pPr>
      <w:r>
        <w:rPr>
          <w:rFonts w:ascii="Calibri" w:hAnsi="Calibri" w:eastAsia="Calibri"/>
          <w:b/>
          <w:sz w:val="22"/>
          <w:highlight w:val="yellow"/>
        </w:rPr>
        <w:t>[Option — mandat]</w:t>
      </w:r>
      <w:r>
        <w:rPr>
          <w:rFonts w:ascii="Calibri" w:hAnsi="Calibri" w:eastAsia="Calibri"/>
          <w:sz w:val="22"/>
        </w:rPr>
        <w:t xml:space="preserve"> </w:t>
      </w:r>
      <w:r>
        <w:rPr>
          <w:rFonts w:ascii="Calibri" w:hAnsi="Calibri" w:eastAsia="Calibri"/>
          <w:sz w:val="22"/>
        </w:rPr>
        <w:t xml:space="preserve">Les associés donnent mandat à </w:t>
      </w:r>
      <w:r>
        <w:rPr>
          <w:rFonts w:ascii="Calibri" w:hAnsi="Calibri" w:eastAsia="Calibri"/>
          <w:sz w:val="22"/>
          <w:highlight w:val="yellow"/>
        </w:rPr>
        <w:t>[Prénom NOM, associé / Prénom NOM, gérant non associé désigné par les présents statuts]</w:t>
      </w:r>
      <w:r>
        <w:rPr>
          <w:rFonts w:ascii="Calibri" w:hAnsi="Calibri" w:eastAsia="Calibri"/>
          <w:sz w:val="22"/>
        </w:rPr>
        <w:t xml:space="preserve"> de prendre, au nom et pour le compte de la société en formation, les engagements déterminés suivants : </w:t>
      </w:r>
      <w:r>
        <w:rPr>
          <w:rFonts w:ascii="Calibri" w:hAnsi="Calibri" w:eastAsia="Calibri"/>
          <w:sz w:val="22"/>
          <w:highlight w:val="yellow"/>
        </w:rPr>
        <w:t>[nature, objet, montant maximal et modalités de chaque engagement]</w:t>
      </w:r>
      <w:r>
        <w:rPr>
          <w:rFonts w:ascii="Calibri" w:hAnsi="Calibri" w:eastAsia="Calibri"/>
          <w:sz w:val="22"/>
        </w:rPr>
        <w:t>. L’immatriculation de la société emportera reprise de ces engagements.</w:t>
      </w:r>
    </w:p>
    <w:p>
      <w:pPr>
        <w:spacing w:after="120" w:before="0"/>
        <w:jc w:val="both"/>
      </w:pPr>
      <w:r>
        <w:rPr>
          <w:rFonts w:ascii="Calibri" w:hAnsi="Calibri" w:eastAsia="Calibri"/>
          <w:sz w:val="22"/>
        </w:rPr>
        <w:t>Jusqu’à l’immatriculation, les personnes qui agissent au nom de la société en formation sont tenues solidairement et indéfiniment des actes ainsi accomplis, à moins que la société, régulièrement constituée et immatriculée, ne les reprenne.</w:t>
      </w:r>
    </w:p>
    <w:p>
      <w:pPr>
        <w:keepNext/>
        <w:spacing w:after="80" w:before="120"/>
      </w:pPr>
      <w:r>
        <w:rPr>
          <w:rFonts w:ascii="Calibri" w:hAnsi="Calibri" w:eastAsia="Calibri"/>
          <w:b/>
          <w:sz w:val="22"/>
        </w:rPr>
        <w:t>Article 23 — Personnalité morale</w:t>
      </w:r>
    </w:p>
    <w:p>
      <w:pPr>
        <w:spacing w:after="120" w:before="0"/>
        <w:jc w:val="both"/>
      </w:pPr>
      <w:r>
        <w:rPr>
          <w:rFonts w:ascii="Calibri" w:hAnsi="Calibri" w:eastAsia="Calibri"/>
          <w:sz w:val="22"/>
        </w:rPr>
        <w:t>La société jouira de la personnalité morale à compter de son immatriculation au registre du commerce et des sociétés.</w:t>
      </w:r>
    </w:p>
    <w:p>
      <w:pPr>
        <w:keepNext/>
        <w:spacing w:after="80" w:before="120"/>
      </w:pPr>
      <w:r>
        <w:rPr>
          <w:rFonts w:ascii="Calibri" w:hAnsi="Calibri" w:eastAsia="Calibri"/>
          <w:b/>
          <w:sz w:val="22"/>
        </w:rPr>
        <w:t>Article 24 — Frais</w:t>
      </w:r>
    </w:p>
    <w:p>
      <w:pPr>
        <w:spacing w:after="120" w:before="0"/>
        <w:jc w:val="both"/>
      </w:pPr>
      <w:r>
        <w:rPr>
          <w:rFonts w:ascii="Calibri" w:hAnsi="Calibri" w:eastAsia="Calibri"/>
          <w:sz w:val="22"/>
        </w:rPr>
        <w:t xml:space="preserve">Les frais, droits et honoraires afférents aux présents statuts et à leurs suites sont pris en charge par la société dès son immatriculation ; ils sont </w:t>
      </w:r>
      <w:r>
        <w:rPr>
          <w:rFonts w:ascii="Calibri" w:hAnsi="Calibri" w:eastAsia="Calibri"/>
          <w:sz w:val="22"/>
          <w:highlight w:val="yellow"/>
        </w:rPr>
        <w:t>[portés en charges / amortis]</w:t>
      </w:r>
      <w:r>
        <w:rPr>
          <w:rFonts w:ascii="Calibri" w:hAnsi="Calibri" w:eastAsia="Calibri"/>
          <w:sz w:val="22"/>
        </w:rPr>
        <w:t xml:space="preserve"> dans les conditions prévues par la réglementation comptable et fiscale.</w:t>
      </w:r>
    </w:p>
    <w:p>
      <w:pPr>
        <w:keepNext/>
        <w:spacing w:after="80" w:before="120"/>
      </w:pPr>
      <w:r>
        <w:rPr>
          <w:rFonts w:ascii="Calibri" w:hAnsi="Calibri" w:eastAsia="Calibri"/>
          <w:b/>
          <w:sz w:val="22"/>
        </w:rPr>
        <w:t>Article 25 — Formalités — Pouvoirs</w:t>
      </w:r>
    </w:p>
    <w:p>
      <w:pPr>
        <w:spacing w:after="120" w:before="0"/>
        <w:jc w:val="both"/>
      </w:pPr>
      <w:r>
        <w:rPr>
          <w:rFonts w:ascii="Calibri" w:hAnsi="Calibri" w:eastAsia="Calibri"/>
          <w:sz w:val="22"/>
        </w:rPr>
        <w:t xml:space="preserve">Tous pouvoirs sont conférés </w:t>
      </w:r>
      <w:r>
        <w:rPr>
          <w:rFonts w:ascii="Calibri" w:hAnsi="Calibri" w:eastAsia="Calibri"/>
          <w:sz w:val="22"/>
        </w:rPr>
        <w:t>à la gérance</w:t>
      </w:r>
      <w:r>
        <w:rPr>
          <w:rFonts w:ascii="Calibri" w:hAnsi="Calibri" w:eastAsia="Calibri"/>
          <w:sz w:val="22"/>
        </w:rPr>
        <w:t>, ainsi qu’au porteur d’un original, d’une copie ou d’un extrait des présents statuts, pour accomplir les formalités de publicité, de dépôt et d’immatriculation, notamment par l’intermédiaire du guichet unique des formalités d’entreprises, et pour signer à cet effet tout document utile, y compris la déclaration des bénéficiaires effectifs.</w:t>
      </w:r>
    </w:p>
    <w:p>
      <w:pPr>
        <w:keepNext/>
        <w:spacing w:after="160" w:before="240"/>
        <w:jc w:val="center"/>
      </w:pPr>
      <w:r>
        <w:rPr>
          <w:rFonts w:ascii="Calibri" w:hAnsi="Calibri" w:eastAsia="Calibri"/>
          <w:b/>
          <w:sz w:val="23"/>
        </w:rPr>
        <w:t>SIGNATURES</w:t>
      </w:r>
    </w:p>
    <w:p>
      <w:pPr>
        <w:spacing w:after="200" w:before="0"/>
        <w:jc w:val="both"/>
      </w:pPr>
      <w:r>
        <w:rPr>
          <w:rFonts w:ascii="Calibri" w:hAnsi="Calibri" w:eastAsia="Calibri"/>
          <w:sz w:val="22"/>
        </w:rPr>
        <w:t xml:space="preserve">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 xml:space="preserve">, </w:t>
      </w:r>
      <w:r>
        <w:rPr>
          <w:rFonts w:ascii="Calibri" w:hAnsi="Calibri" w:eastAsia="Calibri"/>
          <w:sz w:val="22"/>
        </w:rPr>
        <w:t xml:space="preserve">en </w:t>
      </w:r>
      <w:r>
        <w:rPr>
          <w:rFonts w:ascii="Calibri" w:hAnsi="Calibri" w:eastAsia="Calibri"/>
          <w:sz w:val="22"/>
          <w:highlight w:val="yellow"/>
        </w:rPr>
        <w:t>[nombre]</w:t>
      </w:r>
      <w:r>
        <w:rPr>
          <w:rFonts w:ascii="Calibri" w:hAnsi="Calibri" w:eastAsia="Calibri"/>
          <w:sz w:val="22"/>
        </w:rPr>
        <w:t xml:space="preserve"> originaux, pour le dépôt d’un exemplaire au siège social, l’exécution des formalités requises et la remise d’un exemplaire à chaque associé.</w:t>
      </w:r>
    </w:p>
    <w:tbl>
      <w:tblPr>
        <w:tblStyle w:val="TableGrid"/>
        <w:tblW w:type="auto" w:w="0"/>
        <w:tblLayout w:type="fixed"/>
        <w:tblLook w:firstColumn="1" w:firstRow="1" w:lastColumn="0" w:lastRow="0" w:noHBand="0" w:noVBand="1" w:val="04A0"/>
      </w:tblPr>
      <w:tblGrid>
        <w:gridCol w:w="5385"/>
        <w:gridCol w:w="3911"/>
      </w:tblGrid>
      <w:tr>
        <w:tc>
          <w:tcPr>
            <w:tcW w:type="dxa" w:w="5386"/>
            <w:shd w:val="clear" w:color="auto" w:fill="E8EEF4"/>
          </w:tcPr>
          <w:p>
            <w:pPr>
              <w:spacing w:after="40" w:before="0"/>
            </w:pPr>
            <w:r>
              <w:rPr>
                <w:rFonts w:ascii="Calibri" w:hAnsi="Calibri" w:eastAsia="Calibri"/>
                <w:b/>
                <w:sz w:val="19"/>
              </w:rPr>
              <w:t>Associé (identité et, le cas échéant, qualité)</w:t>
            </w:r>
          </w:p>
        </w:tc>
        <w:tc>
          <w:tcPr>
            <w:tcW w:type="dxa" w:w="3912"/>
            <w:shd w:val="clear" w:color="auto" w:fill="E8EEF4"/>
          </w:tcPr>
          <w:p>
            <w:pPr>
              <w:spacing w:after="40" w:before="0"/>
            </w:pPr>
            <w:r>
              <w:rPr>
                <w:rFonts w:ascii="Calibri" w:hAnsi="Calibri" w:eastAsia="Calibri"/>
                <w:b/>
                <w:sz w:val="19"/>
              </w:rPr>
              <w:t>Signature</w:t>
            </w:r>
          </w:p>
        </w:tc>
      </w:tr>
      <w:tr>
        <w:tc>
          <w:tcPr>
            <w:tcW w:type="dxa" w:w="5386"/>
          </w:tcPr>
          <w:p>
            <w:pPr>
              <w:spacing w:after="40" w:before="0"/>
            </w:pPr>
            <w:r>
              <w:rPr>
                <w:rFonts w:ascii="Calibri" w:hAnsi="Calibri" w:eastAsia="Calibri"/>
                <w:sz w:val="19"/>
                <w:highlight w:val="yellow"/>
              </w:rPr>
              <w:t>[Prénom NOM]</w:t>
            </w:r>
            <w:r>
              <w:rPr>
                <w:rFonts w:ascii="Calibri" w:hAnsi="Calibri" w:eastAsia="Calibri"/>
                <w:sz w:val="19"/>
              </w:rPr>
              <w:t>, associé en nom</w:t>
            </w:r>
          </w:p>
        </w:tc>
        <w:tc>
          <w:tcPr>
            <w:tcW w:type="dxa" w:w="3912"/>
          </w:tcPr>
          <w:p>
            <w:pPr>
              <w:spacing w:after="40" w:before="0"/>
            </w:pPr>
            <w:r>
              <w:rPr>
                <w:rFonts w:ascii="Calibri" w:hAnsi="Calibri" w:eastAsia="Calibri"/>
                <w:sz w:val="19"/>
                <w:highlight w:val="yellow"/>
              </w:rPr>
              <w:t>[signature]</w:t>
            </w:r>
          </w:p>
        </w:tc>
      </w:tr>
      <w:tr>
        <w:tc>
          <w:tcPr>
            <w:tcW w:type="dxa" w:w="5386"/>
          </w:tcPr>
          <w:p>
            <w:pPr>
              <w:spacing w:after="40" w:before="0"/>
            </w:pPr>
            <w:r>
              <w:rPr>
                <w:rFonts w:ascii="Calibri" w:hAnsi="Calibri" w:eastAsia="Calibri"/>
                <w:sz w:val="19"/>
                <w:highlight w:val="yellow"/>
              </w:rPr>
              <w:t>[Prénom NOM / dénomination représentée par …]</w:t>
            </w:r>
            <w:r>
              <w:rPr>
                <w:rFonts w:ascii="Calibri" w:hAnsi="Calibri" w:eastAsia="Calibri"/>
                <w:sz w:val="19"/>
              </w:rPr>
              <w:t>, associé en nom</w:t>
            </w:r>
          </w:p>
        </w:tc>
        <w:tc>
          <w:tcPr>
            <w:tcW w:type="dxa" w:w="3912"/>
          </w:tcPr>
          <w:p>
            <w:pPr>
              <w:spacing w:after="40" w:before="0"/>
            </w:pPr>
            <w:r>
              <w:rPr>
                <w:rFonts w:ascii="Calibri" w:hAnsi="Calibri" w:eastAsia="Calibri"/>
                <w:sz w:val="19"/>
                <w:highlight w:val="yellow"/>
              </w:rPr>
              <w:t>[signature]</w:t>
            </w:r>
          </w:p>
        </w:tc>
      </w:tr>
      <w:tr>
        <w:tc>
          <w:tcPr>
            <w:tcW w:type="dxa" w:w="5386"/>
          </w:tcPr>
          <w:p>
            <w:pPr>
              <w:spacing w:after="40" w:before="0"/>
            </w:pPr>
            <w:r>
              <w:rPr>
                <w:rFonts w:ascii="Calibri" w:hAnsi="Calibri" w:eastAsia="Calibri"/>
                <w:sz w:val="19"/>
                <w:highlight w:val="yellow"/>
              </w:rPr>
              <w:t>[Prénom NOM]</w:t>
            </w:r>
            <w:r>
              <w:rPr>
                <w:rFonts w:ascii="Calibri" w:hAnsi="Calibri" w:eastAsia="Calibri"/>
                <w:sz w:val="19"/>
              </w:rPr>
              <w:t>, conjoint intervenant (article 1832-2 du code civil), le cas échéant</w:t>
            </w:r>
          </w:p>
        </w:tc>
        <w:tc>
          <w:tcPr>
            <w:tcW w:type="dxa" w:w="3912"/>
          </w:tcPr>
          <w:p>
            <w:pPr>
              <w:spacing w:after="40" w:before="0"/>
            </w:pPr>
            <w:r>
              <w:rPr>
                <w:rFonts w:ascii="Calibri" w:hAnsi="Calibri" w:eastAsia="Calibri"/>
                <w:sz w:val="19"/>
                <w:highlight w:val="yellow"/>
              </w:rPr>
              <w:t>[signature]</w:t>
            </w:r>
          </w:p>
        </w:tc>
      </w:tr>
      <w:tr>
        <w:tc>
          <w:tcPr>
            <w:tcW w:type="dxa" w:w="5386"/>
          </w:tcPr>
          <w:p>
            <w:pPr>
              <w:spacing w:after="40" w:before="0"/>
            </w:pPr>
            <w:r>
              <w:rPr>
                <w:rFonts w:ascii="Calibri" w:hAnsi="Calibri" w:eastAsia="Calibri"/>
                <w:sz w:val="19"/>
                <w:highlight w:val="yellow"/>
              </w:rPr>
              <w:t>[Prénom NOM / dénomination représentée par …]</w:t>
            </w:r>
            <w:r>
              <w:rPr>
                <w:rFonts w:ascii="Calibri" w:hAnsi="Calibri" w:eastAsia="Calibri"/>
                <w:sz w:val="19"/>
              </w:rPr>
              <w:t>, gérant non associé, le cas échéant</w:t>
            </w:r>
          </w:p>
        </w:tc>
        <w:tc>
          <w:tcPr>
            <w:tcW w:type="dxa" w:w="3912"/>
          </w:tcPr>
          <w:p>
            <w:pPr>
              <w:spacing w:after="40" w:before="0"/>
            </w:pPr>
            <w:r>
              <w:rPr>
                <w:rFonts w:ascii="Calibri" w:hAnsi="Calibri" w:eastAsia="Calibri"/>
                <w:sz w:val="19"/>
                <w:highlight w:val="yellow"/>
              </w:rPr>
              <w:t>[signature précédée de la mention « Bon pour acceptation des fonctions de gérant »]</w:t>
            </w:r>
          </w:p>
        </w:tc>
      </w:tr>
    </w:tbl>
    <w:p>
      <w:pPr>
        <w:spacing w:after="160"/>
      </w:pPr>
    </w:p>
    <w:p>
      <w:r>
        <w:br w:type="page"/>
      </w:r>
    </w:p>
    <w:p>
      <w:pPr>
        <w:spacing w:after="80" w:before="0"/>
        <w:jc w:val="center"/>
      </w:pPr>
      <w:r>
        <w:rPr>
          <w:rFonts w:ascii="Calibri" w:hAnsi="Calibri" w:eastAsia="Calibri"/>
          <w:b/>
          <w:sz w:val="23"/>
        </w:rPr>
        <w:t>ANNEXE 1 — ÉTAT DES ACTES ACCOMPLIS POUR LE COMPTE DE LA SOCIÉTÉ EN FORMATION</w:t>
      </w:r>
    </w:p>
    <w:p>
      <w:pPr>
        <w:spacing w:after="160" w:before="0"/>
        <w:jc w:val="both"/>
      </w:pPr>
      <w:r>
        <w:rPr>
          <w:rFonts w:ascii="Calibri" w:hAnsi="Calibri" w:eastAsia="Calibri"/>
          <w:i/>
          <w:color w:val="4B5563"/>
          <w:sz w:val="22"/>
        </w:rPr>
        <w:t>À établir avant la signature des statuts et à annexer à chaque original ; si aucun acte n’a été accompli, indiquez « Néant » ou supprimez la présente annexe et l’article correspondant.</w:t>
      </w:r>
    </w:p>
    <w:tbl>
      <w:tblPr>
        <w:tblStyle w:val="TableGrid"/>
        <w:tblW w:type="auto" w:w="0"/>
        <w:tblLayout w:type="fixed"/>
        <w:tblLook w:firstColumn="1" w:firstRow="1" w:lastColumn="0" w:lastRow="0" w:noHBand="0" w:noVBand="1" w:val="04A0"/>
      </w:tblPr>
      <w:tblGrid>
        <w:gridCol w:w="1360"/>
        <w:gridCol w:w="3401"/>
        <w:gridCol w:w="1927"/>
        <w:gridCol w:w="2607"/>
      </w:tblGrid>
      <w:tr>
        <w:tc>
          <w:tcPr>
            <w:tcW w:type="dxa" w:w="1361"/>
            <w:shd w:val="clear" w:color="auto" w:fill="E8EEF4"/>
          </w:tcPr>
          <w:p>
            <w:pPr>
              <w:spacing w:after="40" w:before="0"/>
            </w:pPr>
            <w:r>
              <w:rPr>
                <w:rFonts w:ascii="Calibri" w:hAnsi="Calibri" w:eastAsia="Calibri"/>
                <w:b/>
                <w:sz w:val="19"/>
              </w:rPr>
              <w:t>Date</w:t>
            </w:r>
          </w:p>
        </w:tc>
        <w:tc>
          <w:tcPr>
            <w:tcW w:type="dxa" w:w="3402"/>
            <w:shd w:val="clear" w:color="auto" w:fill="E8EEF4"/>
          </w:tcPr>
          <w:p>
            <w:pPr>
              <w:spacing w:after="40" w:before="0"/>
            </w:pPr>
            <w:r>
              <w:rPr>
                <w:rFonts w:ascii="Calibri" w:hAnsi="Calibri" w:eastAsia="Calibri"/>
                <w:b/>
                <w:sz w:val="19"/>
              </w:rPr>
              <w:t>Nature et objet de l’acte</w:t>
            </w:r>
          </w:p>
        </w:tc>
        <w:tc>
          <w:tcPr>
            <w:tcW w:type="dxa" w:w="1928"/>
            <w:shd w:val="clear" w:color="auto" w:fill="E8EEF4"/>
          </w:tcPr>
          <w:p>
            <w:pPr>
              <w:spacing w:after="40" w:before="0"/>
            </w:pPr>
            <w:r>
              <w:rPr>
                <w:rFonts w:ascii="Calibri" w:hAnsi="Calibri" w:eastAsia="Calibri"/>
                <w:b/>
                <w:sz w:val="19"/>
              </w:rPr>
              <w:t>Cocontractant</w:t>
            </w:r>
          </w:p>
        </w:tc>
        <w:tc>
          <w:tcPr>
            <w:tcW w:type="dxa" w:w="2608"/>
            <w:shd w:val="clear" w:color="auto" w:fill="E8EEF4"/>
          </w:tcPr>
          <w:p>
            <w:pPr>
              <w:spacing w:after="40" w:before="0"/>
            </w:pPr>
            <w:r>
              <w:rPr>
                <w:rFonts w:ascii="Calibri" w:hAnsi="Calibri" w:eastAsia="Calibri"/>
                <w:b/>
                <w:sz w:val="19"/>
              </w:rPr>
              <w:t>Engagement qui en résulte pour la société</w:t>
            </w:r>
          </w:p>
        </w:tc>
      </w:tr>
      <w:tr>
        <w:tc>
          <w:tcPr>
            <w:tcW w:type="dxa" w:w="1361"/>
          </w:tcPr>
          <w:p>
            <w:pPr>
              <w:spacing w:after="40" w:before="0"/>
            </w:pPr>
            <w:r>
              <w:rPr>
                <w:rFonts w:ascii="Calibri" w:hAnsi="Calibri" w:eastAsia="Calibri"/>
                <w:sz w:val="19"/>
                <w:highlight w:val="yellow"/>
              </w:rPr>
              <w:t>[date]</w:t>
            </w:r>
          </w:p>
        </w:tc>
        <w:tc>
          <w:tcPr>
            <w:tcW w:type="dxa" w:w="3402"/>
          </w:tcPr>
          <w:p>
            <w:pPr>
              <w:spacing w:after="40" w:before="0"/>
            </w:pPr>
            <w:r>
              <w:rPr>
                <w:rFonts w:ascii="Calibri" w:hAnsi="Calibri" w:eastAsia="Calibri"/>
                <w:sz w:val="19"/>
                <w:highlight w:val="yellow"/>
              </w:rPr>
              <w:t>[ex. : ouverture du compte de dépôt des fonds auprès de …]</w:t>
            </w:r>
          </w:p>
        </w:tc>
        <w:tc>
          <w:tcPr>
            <w:tcW w:type="dxa" w:w="1928"/>
          </w:tcPr>
          <w:p>
            <w:pPr>
              <w:spacing w:after="40" w:before="0"/>
            </w:pPr>
            <w:r>
              <w:rPr>
                <w:rFonts w:ascii="Calibri" w:hAnsi="Calibri" w:eastAsia="Calibri"/>
                <w:sz w:val="19"/>
                <w:highlight w:val="yellow"/>
              </w:rPr>
              <w:t>[cocontractant]</w:t>
            </w:r>
          </w:p>
        </w:tc>
        <w:tc>
          <w:tcPr>
            <w:tcW w:type="dxa" w:w="2608"/>
          </w:tcPr>
          <w:p>
            <w:pPr>
              <w:spacing w:after="40" w:before="0"/>
            </w:pPr>
            <w:r>
              <w:rPr>
                <w:rFonts w:ascii="Calibri" w:hAnsi="Calibri" w:eastAsia="Calibri"/>
                <w:sz w:val="19"/>
                <w:highlight w:val="yellow"/>
              </w:rPr>
              <w:t>[ex. : frais de tenue de compte]</w:t>
            </w:r>
          </w:p>
        </w:tc>
      </w:tr>
      <w:tr>
        <w:tc>
          <w:tcPr>
            <w:tcW w:type="dxa" w:w="1361"/>
          </w:tcPr>
          <w:p>
            <w:pPr>
              <w:spacing w:after="40" w:before="0"/>
            </w:pPr>
            <w:r>
              <w:rPr>
                <w:rFonts w:ascii="Calibri" w:hAnsi="Calibri" w:eastAsia="Calibri"/>
                <w:sz w:val="19"/>
                <w:highlight w:val="yellow"/>
              </w:rPr>
              <w:t>[date]</w:t>
            </w:r>
          </w:p>
        </w:tc>
        <w:tc>
          <w:tcPr>
            <w:tcW w:type="dxa" w:w="3402"/>
          </w:tcPr>
          <w:p>
            <w:pPr>
              <w:spacing w:after="40" w:before="0"/>
            </w:pPr>
            <w:r>
              <w:rPr>
                <w:rFonts w:ascii="Calibri" w:hAnsi="Calibri" w:eastAsia="Calibri"/>
                <w:sz w:val="19"/>
                <w:highlight w:val="yellow"/>
              </w:rPr>
              <w:t>[ex. : bail commercial / contrat de domiciliation du …]</w:t>
            </w:r>
          </w:p>
        </w:tc>
        <w:tc>
          <w:tcPr>
            <w:tcW w:type="dxa" w:w="1928"/>
          </w:tcPr>
          <w:p>
            <w:pPr>
              <w:spacing w:after="40" w:before="0"/>
            </w:pPr>
            <w:r>
              <w:rPr>
                <w:rFonts w:ascii="Calibri" w:hAnsi="Calibri" w:eastAsia="Calibri"/>
                <w:sz w:val="19"/>
                <w:highlight w:val="yellow"/>
              </w:rPr>
              <w:t>[cocontractant]</w:t>
            </w:r>
          </w:p>
        </w:tc>
        <w:tc>
          <w:tcPr>
            <w:tcW w:type="dxa" w:w="2608"/>
          </w:tcPr>
          <w:p>
            <w:pPr>
              <w:spacing w:after="40" w:before="0"/>
            </w:pPr>
            <w:r>
              <w:rPr>
                <w:rFonts w:ascii="Calibri" w:hAnsi="Calibri" w:eastAsia="Calibri"/>
                <w:sz w:val="19"/>
                <w:highlight w:val="yellow"/>
              </w:rPr>
              <w:t>[ex. : loyer de … € par mois]</w:t>
            </w:r>
          </w:p>
        </w:tc>
      </w:tr>
      <w:tr>
        <w:tc>
          <w:tcPr>
            <w:tcW w:type="dxa" w:w="1361"/>
          </w:tcPr>
          <w:p>
            <w:pPr>
              <w:spacing w:after="40" w:before="0"/>
            </w:pPr>
            <w:r>
              <w:rPr>
                <w:rFonts w:ascii="Calibri" w:hAnsi="Calibri" w:eastAsia="Calibri"/>
                <w:sz w:val="19"/>
                <w:highlight w:val="yellow"/>
              </w:rPr>
              <w:t>[date]</w:t>
            </w:r>
          </w:p>
        </w:tc>
        <w:tc>
          <w:tcPr>
            <w:tcW w:type="dxa" w:w="3402"/>
          </w:tcPr>
          <w:p>
            <w:pPr>
              <w:spacing w:after="40" w:before="0"/>
            </w:pPr>
            <w:r>
              <w:rPr>
                <w:rFonts w:ascii="Calibri" w:hAnsi="Calibri" w:eastAsia="Calibri"/>
                <w:sz w:val="19"/>
                <w:highlight w:val="yellow"/>
              </w:rPr>
              <w:t>[ex. : commande de matériel, réservation d’un nom de domaine…]</w:t>
            </w:r>
          </w:p>
        </w:tc>
        <w:tc>
          <w:tcPr>
            <w:tcW w:type="dxa" w:w="1928"/>
          </w:tcPr>
          <w:p>
            <w:pPr>
              <w:spacing w:after="40" w:before="0"/>
            </w:pPr>
            <w:r>
              <w:rPr>
                <w:rFonts w:ascii="Calibri" w:hAnsi="Calibri" w:eastAsia="Calibri"/>
                <w:sz w:val="19"/>
                <w:highlight w:val="yellow"/>
              </w:rPr>
              <w:t>[cocontractant]</w:t>
            </w:r>
          </w:p>
        </w:tc>
        <w:tc>
          <w:tcPr>
            <w:tcW w:type="dxa" w:w="2608"/>
          </w:tcPr>
          <w:p>
            <w:pPr>
              <w:spacing w:after="40" w:before="0"/>
            </w:pPr>
            <w:r>
              <w:rPr>
                <w:rFonts w:ascii="Calibri" w:hAnsi="Calibri" w:eastAsia="Calibri"/>
                <w:sz w:val="19"/>
                <w:highlight w:val="yellow"/>
              </w:rPr>
              <w:t>[ex. : prix de … € TTC]</w:t>
            </w:r>
          </w:p>
        </w:tc>
      </w:tr>
    </w:tbl>
    <w:p>
      <w:pPr>
        <w:spacing w:after="160"/>
      </w:pPr>
    </w:p>
    <w:p>
      <w:pPr>
        <w:spacing w:after="80" w:before="0"/>
      </w:pPr>
      <w:r>
        <w:rPr>
          <w:rFonts w:ascii="Calibri" w:hAnsi="Calibri" w:eastAsia="Calibri"/>
          <w:sz w:val="22"/>
        </w:rPr>
        <w:t xml:space="preserve">Certifié exact par les soussignés, le </w:t>
      </w:r>
      <w:r>
        <w:rPr>
          <w:rFonts w:ascii="Calibri" w:hAnsi="Calibri" w:eastAsia="Calibri"/>
          <w:sz w:val="22"/>
          <w:highlight w:val="yellow"/>
        </w:rPr>
        <w:t>[date]</w:t>
      </w:r>
      <w:r>
        <w:rPr>
          <w:rFonts w:ascii="Calibri" w:hAnsi="Calibri" w:eastAsia="Calibri"/>
          <w:sz w:val="22"/>
        </w:rPr>
        <w:t>.</w:t>
      </w:r>
    </w:p>
    <w:p>
      <w:pPr>
        <w:spacing w:after="240" w:before="0"/>
      </w:pPr>
      <w:r>
        <w:rPr>
          <w:rFonts w:ascii="Calibri" w:hAnsi="Calibri" w:eastAsia="Calibri"/>
          <w:sz w:val="22"/>
          <w:highlight w:val="yellow"/>
        </w:rPr>
        <w:t>[Signatures de tous les associés]</w:t>
      </w:r>
    </w:p>
    <w:p>
      <w:pPr>
        <w:spacing w:after="80" w:before="0"/>
        <w:jc w:val="both"/>
      </w:pPr>
      <w:r>
        <w:rPr>
          <w:rFonts w:ascii="Calibri" w:hAnsi="Calibri" w:eastAsia="Calibri"/>
          <w:b/>
          <w:sz w:val="22"/>
        </w:rPr>
        <w:t xml:space="preserve">Annexe 2 (facultative) — </w:t>
      </w:r>
      <w:r>
        <w:rPr>
          <w:rFonts w:ascii="Calibri" w:hAnsi="Calibri" w:eastAsia="Calibri"/>
          <w:sz w:val="22"/>
        </w:rPr>
        <w:t>Rapport d’évaluation des apports en nature, si les associés en ont fait établir un.</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La SNC réunit au moins deux associés, qui ont tous la qualité de commerçant et répondent indéfiniment et solidairement des dettes sociales, après mise en demeure infructueuse de la société (C. com., art. L. 221-1). Chaque associé doit donc pouvoir exercer le commerce : vérifiez qu’aucune incompatibilité professionnelle ni interdiction ne s’y oppose.</w:t>
      </w:r>
    </w:p>
    <w:p>
      <w:pPr>
        <w:spacing w:after="100" w:before="0"/>
        <w:jc w:val="both"/>
      </w:pPr>
      <w:r>
        <w:rPr>
          <w:rFonts w:ascii="Calibri" w:hAnsi="Calibri" w:eastAsia="Calibri"/>
          <w:color w:val="374151"/>
          <w:sz w:val="20"/>
        </w:rPr>
        <w:t>• Aucun capital minimum ni aucune fraction minimale de libération n’est imposé ; les statuts fixent les modalités de libération (service-public.fr). Le dépôt des fonds n’obéit pas aux règles propres aux SARL et SAS : la libération peut se faire sur un compte ouvert au nom de la société en formation.</w:t>
      </w:r>
    </w:p>
    <w:p>
      <w:pPr>
        <w:spacing w:after="100" w:before="0"/>
        <w:jc w:val="both"/>
      </w:pPr>
      <w:r>
        <w:rPr>
          <w:rFonts w:ascii="Calibri" w:hAnsi="Calibri" w:eastAsia="Calibri"/>
          <w:color w:val="374151"/>
          <w:sz w:val="20"/>
        </w:rPr>
        <w:t>• La cession de parts exige le consentement de tous les associés, toute clause contraire étant réputée non écrite (C. com., art. L. 221-13). Elle est constatée par écrit et rendue opposable selon l’article L. 221-14. Une annonce légale de « mouvement d’associés » est en principe nécessaire lorsque les statuts nomment les associés (forfait 2026 en métropole : 199 € HT). La cession supporte un droit d’enregistrement de 3 % après abattement (CGI, art. 726). Société à prépondérance immobilière, au sens du 2° du I de l’article 726 du code général des impôts (notamment société non cotée dont l’actif est, ou a été au cours de l’année précédant la cession, principalement constitué d’immeubles ou de droits immobiliers situés en France) : depuis le 27 juin 2026, la cession de ses parts sociales doit, à peine de nullité, être constatée par acte authentique, par acte contresigné par avocat ou par un autre acte admis par l’article 1865-1 du code civil ; le droit d’enregistrement est alors de 5 % (CGI, art. 726).</w:t>
      </w:r>
    </w:p>
    <w:p>
      <w:pPr>
        <w:spacing w:after="100" w:before="0"/>
        <w:jc w:val="both"/>
      </w:pPr>
      <w:r>
        <w:rPr>
          <w:rFonts w:ascii="Calibri" w:hAnsi="Calibri" w:eastAsia="Calibri"/>
          <w:color w:val="374151"/>
          <w:sz w:val="20"/>
        </w:rPr>
        <w:t>• Sans clause de continuation, la société prend fin par le décès d’un associé (C. com., art. L. 221-15) et par la liquidation judiciaire, l’interdiction ou l’incapacité définitives de l’un d’eux (art. L. 221-16) : choisissez soigneusement les variantes des articles correspondants.</w:t>
      </w:r>
    </w:p>
    <w:p>
      <w:pPr>
        <w:spacing w:after="100" w:before="0"/>
        <w:jc w:val="both"/>
      </w:pPr>
      <w:r>
        <w:rPr>
          <w:rFonts w:ascii="Calibri" w:hAnsi="Calibri" w:eastAsia="Calibri"/>
          <w:color w:val="374151"/>
          <w:sz w:val="20"/>
        </w:rPr>
        <w:t>• La révocation d’un gérant associé statutaire, ou d’un associé gérant lorsque tous le sont, exige l’unanimité des autres associés et entraîne la dissolution, sauf clause de continuation (C. com., art. L. 221-12). Contrairement à la SARL et à la SAS, le gérant de SNC n’engage la société que par les actes entrant dans l’objet social (art. L. 221-5).</w:t>
      </w:r>
    </w:p>
    <w:p>
      <w:pPr>
        <w:spacing w:after="100" w:before="0"/>
        <w:jc w:val="both"/>
      </w:pPr>
      <w:r>
        <w:rPr>
          <w:rFonts w:ascii="Calibri" w:hAnsi="Calibri" w:eastAsia="Calibri"/>
          <w:color w:val="374151"/>
          <w:sz w:val="20"/>
        </w:rPr>
        <w:t>• Associé marié sous un régime de communauté : les parts de SNC n’étant pas négociables, l’article 1832-2 du code civil s’applique (information du conjoint, faculté pour lui de revendiquer la qualité d’associé) : faites intervenir le conjoint.</w:t>
      </w:r>
    </w:p>
    <w:p>
      <w:pPr>
        <w:spacing w:after="100" w:before="0"/>
        <w:jc w:val="both"/>
      </w:pPr>
      <w:r>
        <w:rPr>
          <w:rFonts w:ascii="Calibri" w:hAnsi="Calibri" w:eastAsia="Calibri"/>
          <w:color w:val="374151"/>
          <w:sz w:val="20"/>
        </w:rPr>
        <w:t>• La SNC n’est pas tenue à la réserve légale, qui ne concerne que les SARL et les sociétés par actions (C. com., art. L. 232-10). Les bénéfices et les pertes se répartissent en proportion des parts, sauf clause contraire ; à défaut de clause, la part de l’apporteur en industrie est égale à celle de l’associé qui a le moins apporté. Sont réputées non écrites les clauses attribuant à un associé la totalité du profit ou l’exonérant de la totalité des pertes, et celles excluant un associé totalement du profit ou mettant à sa charge la totalité des pertes (C. civ., art. 1844-1).</w:t>
      </w:r>
    </w:p>
    <w:p>
      <w:pPr>
        <w:spacing w:after="100" w:before="0"/>
        <w:jc w:val="both"/>
      </w:pPr>
      <w:r>
        <w:rPr>
          <w:rFonts w:ascii="Calibri" w:hAnsi="Calibri" w:eastAsia="Calibri"/>
          <w:color w:val="374151"/>
          <w:sz w:val="20"/>
        </w:rPr>
        <w:t>• Fiscalité et protection sociale : sauf option pour l’impôt sur les sociétés, chaque associé est personnellement imposé à l’impôt sur le revenu sur sa part de bénéfices ; tous les associés relèvent du régime des travailleurs indépendants, le gérant non associé rémunéré étant assimilé salarié (service-public.fr).</w:t>
      </w:r>
    </w:p>
    <w:p>
      <w:pPr>
        <w:spacing w:after="100" w:before="0"/>
        <w:jc w:val="both"/>
      </w:pPr>
      <w:r>
        <w:rPr>
          <w:rFonts w:ascii="Calibri" w:hAnsi="Calibri" w:eastAsia="Calibri"/>
          <w:color w:val="374151"/>
          <w:sz w:val="20"/>
        </w:rPr>
        <w:t>• Comptes : la SNC ne dépose ses comptes au greffe que dans les cas prévus par l’article L. 232-21 du code de commerce, notamment lorsque tous ses associés indéfiniment responsables sont des SARL ou des sociétés par actions. Commissaire aux comptes : seuils du décret (5 000 000 € de bilan, 10 000 000 € de chiffre d’affaires, 50 salariés, deux sur trois), nomination en justice possible à la demande d’un seul associé, et désignation obligatoire, pour trois exercices, à la demande motivée d’associés représentant au moins le tiers du capital (art. L. 221-9). Les articles L. 221-1 à L. 221-17 du code de commerce, propres à la SNC, n’imposent pas de commissaire aux apports : l’annexe 2 n’est utile que si les associés ont fait évaluer leurs apports en nature.</w:t>
      </w:r>
    </w:p>
    <w:p>
      <w:pPr>
        <w:spacing w:after="100" w:before="0"/>
        <w:jc w:val="both"/>
      </w:pPr>
      <w:r>
        <w:rPr>
          <w:rFonts w:ascii="Calibri" w:hAnsi="Calibri" w:eastAsia="Calibri"/>
          <w:color w:val="374151"/>
          <w:sz w:val="20"/>
        </w:rPr>
        <w:t>• Formalités : avis de constitution dans un support habilité (forfait 2026 pour une SNC en métropole : 220 € HT) ; immatriculation de la société sur formalites.entreprises.gouv.fr avec les statuts, le justificatif du siège, les pièces des gérants et la déclaration des bénéficiaires effectifs. Siège en Alsace-Moselle : greffe et chambre commerciale du tribunal judiciaire.</w:t>
      </w:r>
    </w:p>
    <w:p>
      <w:pPr>
        <w:spacing w:after="100" w:before="0"/>
        <w:jc w:val="both"/>
      </w:pPr>
      <w:r>
        <w:rPr>
          <w:rFonts w:ascii="Calibri" w:hAnsi="Calibri" w:eastAsia="Calibri"/>
          <w:color w:val="374151"/>
          <w:sz w:val="20"/>
        </w:rPr>
        <w:t>• Supprimez l’en-tête « Modèle fourni à titre informatif… », les surlignages, les variantes et options non retenues et la présente page avant signature ; renumérotez les articles et vérifiez les renvois internes.</w:t>
      </w:r>
    </w:p>
    <w:p>
      <w:pPr>
        <w:spacing w:after="100" w:before="0"/>
        <w:jc w:val="both"/>
      </w:pPr>
      <w:r>
        <w:rPr>
          <w:rFonts w:ascii="Calibri" w:hAnsi="Calibri" w:eastAsia="Calibri"/>
          <w:color w:val="374151"/>
          <w:sz w:val="20"/>
        </w:rPr>
        <w:t>• Ce modèle est une base de travail : faites relire les statuts par un avocat avant signature et avant toute formalité, en particulier en présence d’apports en nature, de clauses d’agrément ou d’exclusion, d’associés mariés sous un régime de communauté ou d’enjeux patrimoniaux.</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 de société en nom collectif (SNC)</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