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rFonts w:ascii="Calibri" w:hAnsi="Calibri" w:eastAsia="Calibri"/>
          <w:b/>
          <w:sz w:val="26"/>
        </w:rPr>
        <w:t>STATUTS DE LA SOCIÉTÉ PAR ACTIONS SIMPLIFIÉE UNIPERSONNELLE</w:t>
      </w:r>
    </w:p>
    <w:p>
      <w:pPr>
        <w:spacing w:after="200" w:before="0"/>
        <w:jc w:val="center"/>
      </w:pPr>
      <w:r>
        <w:rPr>
          <w:rFonts w:ascii="Calibri" w:hAnsi="Calibri" w:eastAsia="Calibri"/>
          <w:b/>
          <w:sz w:val="24"/>
        </w:rPr>
        <w:t>(SASU) — MODÈLE SIMPLIFIÉ</w:t>
      </w:r>
    </w:p>
    <w:p>
      <w:pPr>
        <w:spacing w:after="280" w:before="0"/>
        <w:jc w:val="center"/>
      </w:pPr>
      <w:r>
        <w:rPr>
          <w:rFonts w:ascii="Calibri" w:hAnsi="Calibri" w:eastAsia="Calibri"/>
          <w:i/>
          <w:sz w:val="22"/>
          <w:highlight w:val="yellow"/>
        </w:rPr>
        <w:t>Base de travail à titre informatif — à adapter et à faire relire avant toute signature ou dépôt.</w:t>
      </w:r>
    </w:p>
    <w:p>
      <w:pPr>
        <w:spacing w:after="160" w:before="0"/>
      </w:pPr>
      <w:r>
        <w:rPr>
          <w:rFonts w:ascii="Calibri" w:hAnsi="Calibri" w:eastAsia="Calibri"/>
          <w:b/>
          <w:sz w:val="22"/>
        </w:rPr>
        <w:t>Le soussigné / La soussignée :</w:t>
      </w:r>
    </w:p>
    <w:p>
      <w:pPr>
        <w:spacing w:after="200" w:before="0"/>
      </w:pP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 de naissance]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ci-après dénommé(e) « l’Associé unique ».</w:t>
      </w:r>
    </w:p>
    <w:p>
      <w:pPr>
        <w:spacing w:after="280" w:before="0"/>
      </w:pPr>
      <w:r>
        <w:rPr>
          <w:rFonts w:ascii="Calibri" w:hAnsi="Calibri" w:eastAsia="Calibri"/>
          <w:sz w:val="22"/>
        </w:rPr>
        <w:t>A établi ainsi qu’il suit les statuts de la société par actions simplifiée unipersonnelle qu’il/elle a décidé de constituer.</w:t>
      </w:r>
    </w:p>
    <w:p>
      <w:pPr>
        <w:spacing w:after="120" w:before="0"/>
      </w:pPr>
      <w:r>
        <w:rPr>
          <w:rFonts w:ascii="Calibri" w:hAnsi="Calibri" w:eastAsia="Calibri"/>
          <w:b/>
          <w:sz w:val="22"/>
        </w:rPr>
        <w:t>Article 1 — Forme</w:t>
      </w:r>
    </w:p>
    <w:p>
      <w:pPr>
        <w:spacing w:after="240" w:before="0"/>
      </w:pPr>
      <w:r>
        <w:rPr>
          <w:rFonts w:ascii="Calibri" w:hAnsi="Calibri" w:eastAsia="Calibri"/>
          <w:sz w:val="22"/>
        </w:rPr>
        <w:t>Il est formé une société par actions simplifiée unipersonnelle (SASU) régie par les dispositions légales et réglementaires en vigueur, notamment le livre II du code de commerce, ainsi que par les présents statuts.</w:t>
      </w:r>
    </w:p>
    <w:p>
      <w:pPr>
        <w:spacing w:after="120" w:before="0"/>
      </w:pPr>
      <w:r>
        <w:rPr>
          <w:rFonts w:ascii="Calibri" w:hAnsi="Calibri" w:eastAsia="Calibri"/>
          <w:b/>
          <w:sz w:val="22"/>
        </w:rPr>
        <w:t>Article 2 — Dénomination</w:t>
      </w:r>
    </w:p>
    <w:p>
      <w:pPr>
        <w:spacing w:after="120" w:before="0"/>
      </w:pPr>
      <w:r>
        <w:rPr>
          <w:rFonts w:ascii="Calibri" w:hAnsi="Calibri" w:eastAsia="Calibri"/>
          <w:sz w:val="22"/>
        </w:rPr>
        <w:t xml:space="preserve">La dénomination de la société est : </w:t>
      </w:r>
      <w:r>
        <w:rPr>
          <w:rFonts w:ascii="Calibri" w:hAnsi="Calibri" w:eastAsia="Calibri"/>
          <w:b/>
          <w:sz w:val="22"/>
          <w:highlight w:val="yellow"/>
        </w:rPr>
        <w:t>[DÉNOMINATION SOCIALE]</w:t>
      </w:r>
      <w:r>
        <w:rPr>
          <w:rFonts w:ascii="Calibri" w:hAnsi="Calibri" w:eastAsia="Calibri"/>
          <w:sz w:val="22"/>
        </w:rPr>
        <w:t>.</w:t>
      </w:r>
    </w:p>
    <w:p>
      <w:pPr>
        <w:spacing w:after="240" w:before="0"/>
      </w:pPr>
      <w:r>
        <w:rPr>
          <w:rFonts w:ascii="Calibri" w:hAnsi="Calibri" w:eastAsia="Calibri"/>
          <w:sz w:val="22"/>
        </w:rPr>
        <w:t>Dans tous les actes et documents émanant de la société, cette dénomination doit être précédée ou suivie immédiatement des mots « Société par actions simplifiée unipersonnelle » ou des initiales « SASU » et de l’énonciation du montant du capital social.</w:t>
      </w:r>
    </w:p>
    <w:p>
      <w:pPr>
        <w:spacing w:after="120" w:before="0"/>
      </w:pPr>
      <w:r>
        <w:rPr>
          <w:rFonts w:ascii="Calibri" w:hAnsi="Calibri" w:eastAsia="Calibri"/>
          <w:b/>
          <w:sz w:val="22"/>
        </w:rPr>
        <w:t>Article 3 — Siège social</w:t>
      </w:r>
    </w:p>
    <w:p>
      <w:pPr>
        <w:spacing w:after="120" w:before="0"/>
      </w:pPr>
      <w:r>
        <w:rPr>
          <w:rFonts w:ascii="Calibri" w:hAnsi="Calibri" w:eastAsia="Calibri"/>
          <w:sz w:val="22"/>
        </w:rPr>
        <w:t xml:space="preserve">Le siège social est fixé : </w:t>
      </w:r>
      <w:r>
        <w:rPr>
          <w:rFonts w:ascii="Calibri" w:hAnsi="Calibri" w:eastAsia="Calibri"/>
          <w:sz w:val="22"/>
          <w:highlight w:val="yellow"/>
        </w:rPr>
        <w:t>[adresse complète du siège]</w:t>
      </w:r>
      <w:r>
        <w:rPr>
          <w:rFonts w:ascii="Calibri" w:hAnsi="Calibri" w:eastAsia="Calibri"/>
          <w:sz w:val="22"/>
        </w:rPr>
        <w:t>.</w:t>
      </w:r>
    </w:p>
    <w:p>
      <w:pPr>
        <w:spacing w:after="240" w:before="0"/>
      </w:pPr>
      <w:r>
        <w:rPr>
          <w:rFonts w:ascii="Calibri" w:hAnsi="Calibri" w:eastAsia="Calibri"/>
          <w:sz w:val="22"/>
        </w:rPr>
        <w:t>Il peut être transféré en tout autre lieu du même département ou d’un département limitrophe par décision du Président, et en tout autre lieu par décision de l’Associé unique.</w:t>
      </w:r>
    </w:p>
    <w:p>
      <w:pPr>
        <w:spacing w:after="120" w:before="0"/>
      </w:pPr>
      <w:r>
        <w:rPr>
          <w:rFonts w:ascii="Calibri" w:hAnsi="Calibri" w:eastAsia="Calibri"/>
          <w:b/>
          <w:sz w:val="22"/>
        </w:rPr>
        <w:t>Article 4 — Objet</w:t>
      </w:r>
    </w:p>
    <w:p>
      <w:pPr>
        <w:spacing w:after="80" w:before="0"/>
      </w:pPr>
      <w:r>
        <w:rPr>
          <w:rFonts w:ascii="Calibri" w:hAnsi="Calibri" w:eastAsia="Calibri"/>
          <w:sz w:val="22"/>
        </w:rPr>
        <w:t>La société a pour objet, en France et à l’étranger :</w:t>
      </w:r>
    </w:p>
    <w:p>
      <w:pPr>
        <w:spacing w:after="120" w:before="0"/>
      </w:pPr>
      <w:r>
        <w:rPr>
          <w:rFonts w:ascii="Calibri" w:hAnsi="Calibri" w:eastAsia="Calibri"/>
          <w:sz w:val="22"/>
          <w:highlight w:val="yellow"/>
        </w:rPr>
        <w:t>[Décrire l’activité principale de façon précise et complète]</w:t>
      </w:r>
    </w:p>
    <w:p>
      <w:pPr>
        <w:spacing w:after="240" w:before="0"/>
      </w:pPr>
      <w:r>
        <w:rPr>
          <w:rFonts w:ascii="Calibri" w:hAnsi="Calibri" w:eastAsia="Calibri"/>
          <w:sz w:val="22"/>
        </w:rPr>
        <w:t>Et, plus généralement, toutes opérations industrielles, commerciales, financières, mobilières ou immobilières se rattachant directement ou indirectement à cet objet ou susceptibles d’en faciliter l’extension ou le développement.</w:t>
      </w:r>
    </w:p>
    <w:p>
      <w:pPr>
        <w:spacing w:after="120" w:before="0"/>
      </w:pPr>
      <w:r>
        <w:rPr>
          <w:rFonts w:ascii="Calibri" w:hAnsi="Calibri" w:eastAsia="Calibri"/>
          <w:b/>
          <w:sz w:val="22"/>
        </w:rPr>
        <w:t>Article 5 — Durée</w:t>
      </w:r>
    </w:p>
    <w:p>
      <w:pPr>
        <w:spacing w:after="240" w:before="0"/>
      </w:pPr>
      <w:r>
        <w:rPr>
          <w:rFonts w:ascii="Calibri" w:hAnsi="Calibri" w:eastAsia="Calibri"/>
          <w:sz w:val="22"/>
        </w:rPr>
        <w:t xml:space="preserve">La durée de la société est fixée à </w:t>
      </w:r>
      <w:r>
        <w:rPr>
          <w:rFonts w:ascii="Calibri" w:hAnsi="Calibri" w:eastAsia="Calibri"/>
          <w:sz w:val="22"/>
          <w:highlight w:val="yellow"/>
        </w:rPr>
        <w:t>[99 ans]</w:t>
      </w:r>
      <w:r>
        <w:rPr>
          <w:rFonts w:ascii="Calibri" w:hAnsi="Calibri" w:eastAsia="Calibri"/>
          <w:sz w:val="22"/>
        </w:rPr>
        <w:t xml:space="preserve"> à compter de son immatriculation au registre du commerce et des sociétés, sauf dissolution anticipée ou prorogation.</w:t>
      </w:r>
    </w:p>
    <w:p>
      <w:pPr>
        <w:spacing w:after="120" w:before="0"/>
      </w:pPr>
      <w:r>
        <w:rPr>
          <w:rFonts w:ascii="Calibri" w:hAnsi="Calibri" w:eastAsia="Calibri"/>
          <w:b/>
          <w:sz w:val="22"/>
        </w:rPr>
        <w:t>Article 6 — Capital social — Apports</w:t>
      </w:r>
    </w:p>
    <w:p>
      <w:pPr>
        <w:spacing w:after="120" w:before="0"/>
      </w:pPr>
      <w:r>
        <w:rPr>
          <w:rFonts w:ascii="Calibri" w:hAnsi="Calibri" w:eastAsia="Calibri"/>
          <w:sz w:val="22"/>
        </w:rPr>
        <w:t xml:space="preserve">Le capital social est fixé à la somme de </w:t>
      </w:r>
      <w:r>
        <w:rPr>
          <w:rFonts w:ascii="Calibri" w:hAnsi="Calibri" w:eastAsia="Calibri"/>
          <w:b/>
          <w:sz w:val="22"/>
          <w:highlight w:val="yellow"/>
        </w:rPr>
        <w:t>[montant en chiffres]</w:t>
      </w:r>
      <w:r>
        <w:rPr>
          <w:rFonts w:ascii="Calibri" w:hAnsi="Calibri" w:eastAsia="Calibri"/>
          <w:b/>
          <w:sz w:val="22"/>
        </w:rPr>
        <w:t xml:space="preserve"> €</w:t>
      </w:r>
      <w:r>
        <w:rPr>
          <w:rFonts w:ascii="Calibri" w:hAnsi="Calibri" w:eastAsia="Calibri"/>
          <w:sz w:val="22"/>
        </w:rPr>
        <w:t xml:space="preserve"> (</w:t>
      </w:r>
      <w:r>
        <w:rPr>
          <w:rFonts w:ascii="Calibri" w:hAnsi="Calibri" w:eastAsia="Calibri"/>
          <w:sz w:val="22"/>
          <w:highlight w:val="yellow"/>
        </w:rPr>
        <w:t>[montant en lettres] euros</w:t>
      </w:r>
      <w:r>
        <w:rPr>
          <w:rFonts w:ascii="Calibri" w:hAnsi="Calibri" w:eastAsia="Calibri"/>
          <w:sz w:val="22"/>
        </w:rPr>
        <w:t>).</w:t>
      </w:r>
    </w:p>
    <w:p>
      <w:pPr>
        <w:spacing w:after="120" w:before="0"/>
      </w:pPr>
      <w:r>
        <w:rPr>
          <w:rFonts w:ascii="Calibri" w:hAnsi="Calibri" w:eastAsia="Calibri"/>
          <w:sz w:val="22"/>
        </w:rPr>
        <w:t xml:space="preserve">Il est divisé en </w:t>
      </w:r>
      <w:r>
        <w:rPr>
          <w:rFonts w:ascii="Calibri" w:hAnsi="Calibri" w:eastAsia="Calibri"/>
          <w:sz w:val="22"/>
          <w:highlight w:val="yellow"/>
        </w:rPr>
        <w:t>[nombre]</w:t>
      </w:r>
      <w:r>
        <w:rPr>
          <w:rFonts w:ascii="Calibri" w:hAnsi="Calibri" w:eastAsia="Calibri"/>
          <w:sz w:val="22"/>
        </w:rPr>
        <w:t xml:space="preserve"> actions de </w:t>
      </w:r>
      <w:r>
        <w:rPr>
          <w:rFonts w:ascii="Calibri" w:hAnsi="Calibri" w:eastAsia="Calibri"/>
          <w:sz w:val="22"/>
          <w:highlight w:val="yellow"/>
        </w:rPr>
        <w:t>[valeur nominale]</w:t>
      </w:r>
      <w:r>
        <w:rPr>
          <w:rFonts w:ascii="Calibri" w:hAnsi="Calibri" w:eastAsia="Calibri"/>
          <w:sz w:val="22"/>
        </w:rPr>
        <w:t xml:space="preserve"> euros chacune, de même catégorie, entièrement souscrites et libérées </w:t>
      </w:r>
      <w:r>
        <w:rPr>
          <w:rFonts w:ascii="Calibri" w:hAnsi="Calibri" w:eastAsia="Calibri"/>
          <w:sz w:val="22"/>
          <w:highlight w:val="yellow"/>
        </w:rPr>
        <w:t>[en totalité / partiellement, dans les limites prévues par la loi — préciser]</w:t>
      </w:r>
      <w:r>
        <w:rPr>
          <w:rFonts w:ascii="Calibri" w:hAnsi="Calibri" w:eastAsia="Calibri"/>
          <w:sz w:val="22"/>
        </w:rPr>
        <w:t>.</w:t>
      </w:r>
    </w:p>
    <w:p>
      <w:pPr>
        <w:spacing w:after="120" w:before="0"/>
      </w:pPr>
      <w:r>
        <w:rPr>
          <w:rFonts w:ascii="Calibri" w:hAnsi="Calibri" w:eastAsia="Calibri"/>
          <w:sz w:val="22"/>
        </w:rPr>
        <w:t xml:space="preserve">L’Associé unique apporte à la société la somme de </w:t>
      </w:r>
      <w:r>
        <w:rPr>
          <w:rFonts w:ascii="Calibri" w:hAnsi="Calibri" w:eastAsia="Calibri"/>
          <w:sz w:val="22"/>
          <w:highlight w:val="yellow"/>
        </w:rPr>
        <w:t>[montant]</w:t>
      </w:r>
      <w:r>
        <w:rPr>
          <w:rFonts w:ascii="Calibri" w:hAnsi="Calibri" w:eastAsia="Calibri"/>
          <w:sz w:val="22"/>
        </w:rPr>
        <w:t xml:space="preserve"> €</w:t>
      </w:r>
      <w:r>
        <w:rPr>
          <w:rFonts w:ascii="Calibri" w:hAnsi="Calibri" w:eastAsia="Calibri"/>
          <w:sz w:val="22"/>
        </w:rPr>
        <w:t xml:space="preserve">, correspondant à </w:t>
      </w:r>
      <w:r>
        <w:rPr>
          <w:rFonts w:ascii="Calibri" w:hAnsi="Calibri" w:eastAsia="Calibri"/>
          <w:sz w:val="22"/>
          <w:highlight w:val="yellow"/>
        </w:rPr>
        <w:t>[nombre]</w:t>
      </w:r>
      <w:r>
        <w:rPr>
          <w:rFonts w:ascii="Calibri" w:hAnsi="Calibri" w:eastAsia="Calibri"/>
          <w:sz w:val="22"/>
        </w:rPr>
        <w:t xml:space="preserve"> actions, libérées </w:t>
      </w:r>
      <w:r>
        <w:rPr>
          <w:rFonts w:ascii="Calibri" w:hAnsi="Calibri" w:eastAsia="Calibri"/>
          <w:sz w:val="22"/>
          <w:highlight w:val="yellow"/>
        </w:rPr>
        <w:t>[intégralement / à hauteur de …]</w:t>
      </w:r>
      <w:r>
        <w:rPr>
          <w:rFonts w:ascii="Calibri" w:hAnsi="Calibri" w:eastAsia="Calibri"/>
          <w:sz w:val="22"/>
        </w:rPr>
        <w:t xml:space="preserve"> </w:t>
      </w:r>
      <w:r>
        <w:rPr>
          <w:rFonts w:ascii="Calibri" w:hAnsi="Calibri" w:eastAsia="Calibri"/>
          <w:sz w:val="22"/>
          <w:highlight w:val="yellow"/>
        </w:rPr>
        <w:t>[en numéraire / par compensation / description de l’apport en nature, le cas échéant]</w:t>
      </w:r>
      <w:r>
        <w:rPr>
          <w:rFonts w:ascii="Calibri" w:hAnsi="Calibri" w:eastAsia="Calibri"/>
          <w:sz w:val="22"/>
        </w:rPr>
        <w:t>.</w:t>
      </w:r>
    </w:p>
    <w:p>
      <w:pPr>
        <w:spacing w:after="120" w:before="0"/>
      </w:pPr>
      <w:r>
        <w:rPr>
          <w:rFonts w:ascii="Calibri" w:hAnsi="Calibri" w:eastAsia="Calibri"/>
          <w:sz w:val="22"/>
        </w:rPr>
        <w:t xml:space="preserve">Les fonds correspondant aux apports en numéraire ont été déposés auprès de </w:t>
      </w:r>
      <w:r>
        <w:rPr>
          <w:rFonts w:ascii="Calibri" w:hAnsi="Calibri" w:eastAsia="Calibri"/>
          <w:sz w:val="22"/>
          <w:highlight w:val="yellow"/>
        </w:rPr>
        <w:t>[banque / notaire / Caisse des dépôts et consignations]</w:t>
      </w:r>
      <w:r>
        <w:rPr>
          <w:rFonts w:ascii="Calibri" w:hAnsi="Calibri" w:eastAsia="Calibri"/>
          <w:sz w:val="22"/>
        </w:rPr>
        <w:t>, ainsi qu’il résulte du certificat établi par le dépositaire.</w:t>
      </w:r>
    </w:p>
    <w:p>
      <w:pPr>
        <w:spacing w:after="240" w:before="0"/>
      </w:pPr>
      <w:r>
        <w:rPr>
          <w:rFonts w:ascii="Calibri" w:hAnsi="Calibri" w:eastAsia="Calibri"/>
          <w:i/>
          <w:sz w:val="22"/>
        </w:rPr>
        <w:t>En cas d’apport en nature, un commissaire aux apports peut être requis selon les seuils et conditions prévus par le code de commerce — à vérifier avant signature.</w:t>
      </w:r>
    </w:p>
    <w:p>
      <w:pPr>
        <w:spacing w:after="120" w:before="0"/>
      </w:pPr>
      <w:r>
        <w:rPr>
          <w:rFonts w:ascii="Calibri" w:hAnsi="Calibri" w:eastAsia="Calibri"/>
          <w:b/>
          <w:sz w:val="22"/>
        </w:rPr>
        <w:t>Article 7 — Actions</w:t>
      </w:r>
    </w:p>
    <w:p>
      <w:pPr>
        <w:spacing w:after="120" w:before="0"/>
      </w:pPr>
      <w:r>
        <w:rPr>
          <w:rFonts w:ascii="Calibri" w:hAnsi="Calibri" w:eastAsia="Calibri"/>
          <w:sz w:val="22"/>
        </w:rPr>
        <w:t>Les actions sont nominatives. Elles donnent droit à une part proportionnelle à la quotité de capital qu’elles représentent dans les bénéfices et dans l’actif social.</w:t>
      </w:r>
    </w:p>
    <w:p>
      <w:pPr>
        <w:spacing w:after="240" w:before="0"/>
      </w:pPr>
      <w:r>
        <w:rPr>
          <w:rFonts w:ascii="Calibri" w:hAnsi="Calibri" w:eastAsia="Calibri"/>
          <w:sz w:val="22"/>
        </w:rPr>
        <w:t xml:space="preserve">La cession d’actions à un tiers est </w:t>
      </w:r>
      <w:r>
        <w:rPr>
          <w:rFonts w:ascii="Calibri" w:hAnsi="Calibri" w:eastAsia="Calibri"/>
          <w:sz w:val="22"/>
          <w:highlight w:val="yellow"/>
        </w:rPr>
        <w:t>[libre / soumise à l’agrément de l’Associé unique — préciser]</w:t>
      </w:r>
      <w:r>
        <w:rPr>
          <w:rFonts w:ascii="Calibri" w:hAnsi="Calibri" w:eastAsia="Calibri"/>
          <w:sz w:val="22"/>
        </w:rPr>
        <w:t>. En cas de pluralité d’associés ultérieure, les présentes clauses devront être revues.</w:t>
      </w:r>
    </w:p>
    <w:p>
      <w:pPr>
        <w:spacing w:after="120" w:before="0"/>
      </w:pPr>
      <w:r>
        <w:rPr>
          <w:rFonts w:ascii="Calibri" w:hAnsi="Calibri" w:eastAsia="Calibri"/>
          <w:b/>
          <w:sz w:val="22"/>
        </w:rPr>
        <w:t>Article 8 — Président</w:t>
      </w:r>
    </w:p>
    <w:p>
      <w:pPr>
        <w:spacing w:after="120" w:before="0"/>
      </w:pPr>
      <w:r>
        <w:rPr>
          <w:rFonts w:ascii="Calibri" w:hAnsi="Calibri" w:eastAsia="Calibri"/>
          <w:sz w:val="22"/>
        </w:rPr>
        <w:t>La société est représentée à l’égard des tiers par un Président, personne physique ou morale, associé ou non.</w:t>
      </w:r>
    </w:p>
    <w:p>
      <w:pPr>
        <w:spacing w:after="120" w:before="0"/>
      </w:pPr>
      <w:r>
        <w:rPr>
          <w:rFonts w:ascii="Calibri" w:hAnsi="Calibri" w:eastAsia="Calibri"/>
          <w:sz w:val="22"/>
        </w:rPr>
        <w:t xml:space="preserve">Le premier Président est : </w:t>
      </w:r>
      <w:r>
        <w:rPr>
          <w:rFonts w:ascii="Calibri" w:hAnsi="Calibri" w:eastAsia="Calibri"/>
          <w:b/>
          <w:sz w:val="22"/>
          <w:highlight w:val="yellow"/>
        </w:rPr>
        <w:t>[Prénom NOM / ou dénomination]</w:t>
      </w:r>
      <w:r>
        <w:rPr>
          <w:rFonts w:ascii="Calibri" w:hAnsi="Calibri" w:eastAsia="Calibri"/>
          <w:sz w:val="22"/>
        </w:rPr>
        <w:t xml:space="preserve">, demeurant / ayant son siège </w:t>
      </w:r>
      <w:r>
        <w:rPr>
          <w:rFonts w:ascii="Calibri" w:hAnsi="Calibri" w:eastAsia="Calibri"/>
          <w:sz w:val="22"/>
          <w:highlight w:val="yellow"/>
        </w:rPr>
        <w:t>[adresse]</w:t>
      </w:r>
      <w:r>
        <w:rPr>
          <w:rFonts w:ascii="Calibri" w:hAnsi="Calibri" w:eastAsia="Calibri"/>
          <w:sz w:val="22"/>
        </w:rPr>
        <w:t xml:space="preserve">, nommé pour une durée </w:t>
      </w:r>
      <w:r>
        <w:rPr>
          <w:rFonts w:ascii="Calibri" w:hAnsi="Calibri" w:eastAsia="Calibri"/>
          <w:sz w:val="22"/>
          <w:highlight w:val="yellow"/>
        </w:rPr>
        <w:t>[indéterminée / de X années]</w:t>
      </w:r>
      <w:r>
        <w:rPr>
          <w:rFonts w:ascii="Calibri" w:hAnsi="Calibri" w:eastAsia="Calibri"/>
          <w:sz w:val="22"/>
        </w:rPr>
        <w:t>.</w:t>
      </w:r>
    </w:p>
    <w:p>
      <w:pPr>
        <w:spacing w:after="120" w:before="0"/>
      </w:pPr>
      <w:r>
        <w:rPr>
          <w:rFonts w:ascii="Calibri" w:hAnsi="Calibri" w:eastAsia="Calibri"/>
          <w:sz w:val="22"/>
        </w:rPr>
        <w:t>Le Président est investi des pouvoirs les plus étendus pour agir en toute circonstance au nom de la société, dans la limite de l’objet social et sous réserve des décisions relevant de l’Associé unique.</w:t>
      </w:r>
    </w:p>
    <w:p>
      <w:pPr>
        <w:spacing w:after="240" w:before="0"/>
      </w:pPr>
      <w:r>
        <w:rPr>
          <w:rFonts w:ascii="Calibri" w:hAnsi="Calibri" w:eastAsia="Calibri"/>
          <w:sz w:val="22"/>
        </w:rPr>
        <w:t xml:space="preserve">La rémunération du Président est fixée par décision de l’Associé unique. </w:t>
      </w:r>
      <w:r>
        <w:rPr>
          <w:rFonts w:ascii="Calibri" w:hAnsi="Calibri" w:eastAsia="Calibri"/>
          <w:sz w:val="22"/>
          <w:highlight w:val="yellow"/>
        </w:rPr>
        <w:t>[Préciser éventuelle gratuité des fonctions.]</w:t>
      </w:r>
    </w:p>
    <w:p>
      <w:pPr>
        <w:spacing w:after="120" w:before="0"/>
      </w:pPr>
      <w:r>
        <w:rPr>
          <w:rFonts w:ascii="Calibri" w:hAnsi="Calibri" w:eastAsia="Calibri"/>
          <w:b/>
          <w:sz w:val="22"/>
        </w:rPr>
        <w:t>Article 9 — Décisions de l’Associé unique</w:t>
      </w:r>
    </w:p>
    <w:p>
      <w:pPr>
        <w:spacing w:after="120" w:before="0"/>
      </w:pPr>
      <w:r>
        <w:rPr>
          <w:rFonts w:ascii="Calibri" w:hAnsi="Calibri" w:eastAsia="Calibri"/>
          <w:sz w:val="22"/>
        </w:rPr>
        <w:t>L’Associé unique exerce les pouvoirs dévolus aux associés. Ses décisions sont répertoriées dans un registre tenu au siège social.</w:t>
      </w:r>
    </w:p>
    <w:p>
      <w:pPr>
        <w:spacing w:after="240" w:before="0"/>
      </w:pPr>
      <w:r>
        <w:rPr>
          <w:rFonts w:ascii="Calibri" w:hAnsi="Calibri" w:eastAsia="Calibri"/>
          <w:sz w:val="22"/>
        </w:rPr>
        <w:t>Sont notamment de la compétence de l’Associé unique : l’approbation des comptes et l’affectation du résultat ; la nomination et la révocation du Président ; toute modification des statuts ; l’augmentation ou la réduction du capital ; la dissolution anticipée ; la transformation de la société.</w:t>
      </w:r>
    </w:p>
    <w:p>
      <w:pPr>
        <w:spacing w:after="120" w:before="0"/>
      </w:pPr>
      <w:r>
        <w:rPr>
          <w:rFonts w:ascii="Calibri" w:hAnsi="Calibri" w:eastAsia="Calibri"/>
          <w:b/>
          <w:sz w:val="22"/>
        </w:rPr>
        <w:t>Article 10 — Exercice social — Comptes</w:t>
      </w:r>
    </w:p>
    <w:p>
      <w:pPr>
        <w:spacing w:after="120" w:before="0"/>
      </w:pPr>
      <w:r>
        <w:rPr>
          <w:rFonts w:ascii="Calibri" w:hAnsi="Calibri" w:eastAsia="Calibri"/>
          <w:sz w:val="22"/>
        </w:rPr>
        <w:t xml:space="preserve">L’exercice social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de chaque année. Par exception, le premier exercice commence à la date d’immatriculation et se termine le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sz w:val="22"/>
        </w:rPr>
        <w:t>À la clôture de chaque exercice, le Président établit les comptes annuels et le rapport de gestion lorsque celui-ci est requis. L’Associé unique statue sur les comptes dans les six mois de la clôture de l’exercice.</w:t>
      </w:r>
    </w:p>
    <w:p>
      <w:pPr>
        <w:spacing w:after="120" w:before="0"/>
      </w:pPr>
      <w:r>
        <w:rPr>
          <w:rFonts w:ascii="Calibri" w:hAnsi="Calibri" w:eastAsia="Calibri"/>
          <w:b/>
          <w:sz w:val="22"/>
        </w:rPr>
        <w:t>Article 11 — Affectation du résultat</w:t>
      </w:r>
    </w:p>
    <w:p>
      <w:pPr>
        <w:spacing w:after="240" w:before="0"/>
      </w:pPr>
      <w:r>
        <w:rPr>
          <w:rFonts w:ascii="Calibri" w:hAnsi="Calibri" w:eastAsia="Calibri"/>
          <w:sz w:val="22"/>
        </w:rPr>
        <w:t>Le bénéfice distribuable est déterminé conformément aux dispositions légales. L’Associé unique décide de son affectation (réserves, report à nouveau, distribution de dividendes).</w:t>
      </w:r>
    </w:p>
    <w:p>
      <w:pPr>
        <w:spacing w:after="120" w:before="0"/>
      </w:pPr>
      <w:r>
        <w:rPr>
          <w:rFonts w:ascii="Calibri" w:hAnsi="Calibri" w:eastAsia="Calibri"/>
          <w:b/>
          <w:sz w:val="22"/>
        </w:rPr>
        <w:t>Article 12 — Dissolution — Liquidation</w:t>
      </w:r>
    </w:p>
    <w:p>
      <w:pPr>
        <w:spacing w:after="240" w:before="0"/>
      </w:pPr>
      <w:r>
        <w:rPr>
          <w:rFonts w:ascii="Calibri" w:hAnsi="Calibri" w:eastAsia="Calibri"/>
          <w:sz w:val="22"/>
        </w:rPr>
        <w:t>La société est dissoute dans les cas prévus par la loi, ou par décision de l’Associé unique. La personnalité morale de la société subsiste pour les besoins de la liquidation jusqu’à la publication de la clôture de celle-ci.</w:t>
      </w:r>
    </w:p>
    <w:p>
      <w:pPr>
        <w:spacing w:after="120" w:before="0"/>
      </w:pPr>
      <w:r>
        <w:rPr>
          <w:rFonts w:ascii="Calibri" w:hAnsi="Calibri" w:eastAsia="Calibri"/>
          <w:b/>
          <w:sz w:val="22"/>
        </w:rPr>
        <w:t>Article 13 — Actes accomplis pour le compte de la société en formation</w:t>
      </w:r>
    </w:p>
    <w:p>
      <w:pPr>
        <w:spacing w:after="240" w:before="0"/>
      </w:pPr>
      <w:r>
        <w:rPr>
          <w:rFonts w:ascii="Calibri" w:hAnsi="Calibri" w:eastAsia="Calibri"/>
          <w:sz w:val="22"/>
        </w:rPr>
        <w:t xml:space="preserve">Un état des actes accomplis pour le compte de la société en formation, avec l’indication pour chacun d’eux de l’engagement qui en résulte, est annexé aux présents statuts. La signature des statuts emportera reprise de ces engagements par la société lorsque celle-ci aura été immatriculée au registre du commerce et des sociétés. </w:t>
      </w:r>
      <w:r>
        <w:rPr>
          <w:rFonts w:ascii="Calibri" w:hAnsi="Calibri" w:eastAsia="Calibri"/>
          <w:sz w:val="22"/>
          <w:highlight w:val="yellow"/>
        </w:rPr>
        <w:t>[Annexe : état des actes — à établir ou à supprimer s’il n’y en a pas]</w:t>
      </w:r>
    </w:p>
    <w:p>
      <w:pPr>
        <w:spacing w:after="120" w:before="0"/>
      </w:pPr>
      <w:r>
        <w:rPr>
          <w:rFonts w:ascii="Calibri" w:hAnsi="Calibri" w:eastAsia="Calibri"/>
          <w:b/>
          <w:sz w:val="22"/>
        </w:rPr>
        <w:t>Article 14 — Contestations</w:t>
      </w:r>
    </w:p>
    <w:p>
      <w:pPr>
        <w:spacing w:after="280" w:before="0"/>
      </w:pPr>
      <w:r>
        <w:rPr>
          <w:rFonts w:ascii="Calibri" w:hAnsi="Calibri" w:eastAsia="Calibri"/>
          <w:sz w:val="22"/>
        </w:rPr>
        <w:t>Toutes contestations relatives aux affaires sociales, pendant la durée de la société ou lors de sa liquidation, sont soumises aux tribunaux compétents du siège social.</w:t>
      </w:r>
    </w:p>
    <w:p>
      <w:pPr>
        <w:spacing w:after="120" w:before="0"/>
      </w:pPr>
      <w:r>
        <w:rPr>
          <w:rFonts w:ascii="Calibri" w:hAnsi="Calibri" w:eastAsia="Calibri"/>
          <w:b/>
          <w:sz w:val="22"/>
        </w:rPr>
        <w:t xml:space="preserve">Fait à </w:t>
      </w:r>
      <w:r>
        <w:rPr>
          <w:rFonts w:ascii="Calibri" w:hAnsi="Calibri" w:eastAsia="Calibri"/>
          <w:sz w:val="22"/>
          <w:highlight w:val="yellow"/>
        </w:rPr>
        <w:t>[ville]</w:t>
      </w:r>
      <w:r>
        <w:rPr>
          <w:rFonts w:ascii="Calibri" w:hAnsi="Calibri" w:eastAsia="Calibri"/>
          <w:b/>
          <w:sz w:val="22"/>
        </w:rPr>
        <w:t xml:space="preserve">, le </w:t>
      </w:r>
      <w:r>
        <w:rPr>
          <w:rFonts w:ascii="Calibri" w:hAnsi="Calibri" w:eastAsia="Calibri"/>
          <w:sz w:val="22"/>
          <w:highlight w:val="yellow"/>
        </w:rPr>
        <w:t>[date]</w:t>
      </w:r>
    </w:p>
    <w:p>
      <w:pPr>
        <w:spacing w:after="320" w:before="0"/>
      </w:pPr>
      <w:r>
        <w:rPr>
          <w:rFonts w:ascii="Calibri" w:hAnsi="Calibri" w:eastAsia="Calibri"/>
          <w:sz w:val="22"/>
        </w:rPr>
        <w:t xml:space="preserve">En </w:t>
      </w:r>
      <w:r>
        <w:rPr>
          <w:rFonts w:ascii="Calibri" w:hAnsi="Calibri" w:eastAsia="Calibri"/>
          <w:sz w:val="22"/>
          <w:highlight w:val="yellow"/>
        </w:rPr>
        <w:t>[nombre]</w:t>
      </w:r>
      <w:r>
        <w:rPr>
          <w:rFonts w:ascii="Calibri" w:hAnsi="Calibri" w:eastAsia="Calibri"/>
          <w:sz w:val="22"/>
        </w:rPr>
        <w:t xml:space="preserve"> exemplaires originaux.</w:t>
      </w:r>
    </w:p>
    <w:p>
      <w:pPr>
        <w:spacing w:after="80" w:before="0"/>
      </w:pPr>
      <w:r>
        <w:rPr>
          <w:rFonts w:ascii="Calibri" w:hAnsi="Calibri" w:eastAsia="Calibri"/>
          <w:b/>
          <w:sz w:val="22"/>
        </w:rPr>
        <w:t>L’Associé unique</w:t>
      </w:r>
    </w:p>
    <w:p>
      <w:pPr>
        <w:spacing w:after="80" w:before="0"/>
      </w:pPr>
      <w:r>
        <w:rPr>
          <w:rFonts w:ascii="Calibri" w:hAnsi="Calibri" w:eastAsia="Calibri"/>
          <w:sz w:val="22"/>
          <w:highlight w:val="yellow"/>
        </w:rPr>
        <w:t>[Prénom NOM]</w:t>
      </w:r>
    </w:p>
    <w:p>
      <w:pPr>
        <w:spacing w:after="160" w:before="0"/>
      </w:pPr>
      <w:r>
        <w:rPr>
          <w:rFonts w:ascii="Calibri" w:hAnsi="Calibri" w:eastAsia="Calibri"/>
          <w:sz w:val="22"/>
          <w:highlight w:val="yellow"/>
        </w:rPr>
        <w:t>[Signature précédée de la mention « Lu et approuvé »]</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est volontairement simplifié. Il ne couvre pas toutes les situations (apports en nature complexes, commissaire aux comptes, pluralité d’associés, pactes d’associés, etc.).</w:t>
      </w:r>
    </w:p>
    <w:p>
      <w:pPr>
        <w:spacing w:after="100" w:before="0"/>
        <w:jc w:val="both"/>
      </w:pPr>
      <w:r>
        <w:rPr>
          <w:rFonts w:ascii="Calibri" w:hAnsi="Calibri" w:eastAsia="Calibri"/>
          <w:color w:val="374151"/>
          <w:sz w:val="20"/>
        </w:rPr>
        <w:t>• Avant les formalités d’immatriculation (guichet unique des formalités d’entreprises) : vérifier la disponibilité de la dénomination, rédiger un objet social adapté, fixer le capital et les modalités de libération, et renseigner la déclaration des bénéficiaires effectifs.</w:t>
      </w:r>
    </w:p>
    <w:p>
      <w:pPr>
        <w:spacing w:after="100" w:before="0"/>
        <w:jc w:val="both"/>
      </w:pPr>
      <w:r>
        <w:rPr>
          <w:rFonts w:ascii="Calibri" w:hAnsi="Calibri" w:eastAsia="Calibri"/>
          <w:color w:val="374151"/>
          <w:sz w:val="20"/>
        </w:rPr>
        <w:t>• Certaines décisions (augmentation de capital, transformation, fusion…) obéissent à des formalités particulières ; ne pas utiliser ce texte hors de son objet.</w:t>
      </w:r>
    </w:p>
    <w:p>
      <w:pPr>
        <w:spacing w:after="100" w:before="0"/>
        <w:jc w:val="both"/>
      </w:pPr>
      <w:r>
        <w:rPr>
          <w:rFonts w:ascii="Calibri" w:hAnsi="Calibri" w:eastAsia="Calibri"/>
          <w:color w:val="374151"/>
          <w:sz w:val="20"/>
        </w:rPr>
        <w:t>• Faites relire les statuts par un avocat ou un professionnel du droit des sociétés avant signature et immatriculation.</w:t>
      </w:r>
    </w:p>
    <w:p>
      <w:pPr>
        <w:spacing w:after="100" w:before="0"/>
        <w:jc w:val="both"/>
      </w:pPr>
      <w:r>
        <w:rPr>
          <w:rFonts w:ascii="Calibri" w:hAnsi="Calibri" w:eastAsia="Calibri"/>
          <w:color w:val="374151"/>
          <w:sz w:val="20"/>
        </w:rPr>
        <w:t>• En Alsace-Moselle (Bas-Rhin, Haut-Rhin, Moselle), le registre du commerce et des sociétés est tenu par le greffe du tribunal judiciaire, et non par un greffe de tribunal de commerce ; les formalités passent, comme ailleurs, par le guichet unique.</w:t>
      </w:r>
    </w:p>
    <w:p>
      <w:pPr>
        <w:spacing w:after="100" w:before="0"/>
        <w:jc w:val="both"/>
      </w:pPr>
      <w:r>
        <w:rPr>
          <w:rFonts w:ascii="Calibri" w:hAnsi="Calibri" w:eastAsia="Calibri"/>
          <w:color w:val="374151"/>
          <w:sz w:val="20"/>
        </w:rPr>
        <w:t>• Supprimez l’en-tête « Modèle fourni à titre informatif… », les surlignages et la présente page avant signature.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types de SASU (modèle simplifié)</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