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jc w:val="center"/>
      </w:pPr>
      <w:r>
        <w:rPr>
          <w:rFonts w:ascii="Calibri" w:hAnsi="Calibri" w:eastAsia="Calibri"/>
          <w:b/>
          <w:sz w:val="26"/>
          <w:highlight w:val="yellow"/>
        </w:rPr>
        <w:t>[DÉNOMINATION SOCIALE]</w:t>
      </w:r>
    </w:p>
    <w:p>
      <w:pPr>
        <w:spacing w:after="40" w:before="0"/>
        <w:jc w:val="center"/>
      </w:pPr>
      <w:r>
        <w:rPr>
          <w:rFonts w:ascii="Calibri" w:hAnsi="Calibri" w:eastAsia="Calibri"/>
          <w:sz w:val="22"/>
        </w:rPr>
        <w:t xml:space="preserve">Société à responsabilité limitée au capital de </w:t>
      </w:r>
      <w:r>
        <w:rPr>
          <w:rFonts w:ascii="Calibri" w:hAnsi="Calibri" w:eastAsia="Calibri"/>
          <w:sz w:val="22"/>
          <w:highlight w:val="yellow"/>
        </w:rPr>
        <w:t>[montant]</w:t>
      </w:r>
      <w:r>
        <w:rPr>
          <w:rFonts w:ascii="Calibri" w:hAnsi="Calibri" w:eastAsia="Calibri"/>
          <w:sz w:val="22"/>
        </w:rPr>
        <w:t xml:space="preserve"> euros</w:t>
      </w:r>
    </w:p>
    <w:p>
      <w:pPr>
        <w:spacing w:after="320" w:before="0"/>
        <w:jc w:val="center"/>
      </w:pPr>
      <w:r>
        <w:rPr>
          <w:rFonts w:ascii="Calibri" w:hAnsi="Calibri" w:eastAsia="Calibri"/>
          <w:sz w:val="22"/>
        </w:rPr>
        <w:t xml:space="preserve">Siège social : </w:t>
      </w:r>
      <w:r>
        <w:rPr>
          <w:rFonts w:ascii="Calibri" w:hAnsi="Calibri" w:eastAsia="Calibri"/>
          <w:sz w:val="22"/>
          <w:highlight w:val="yellow"/>
        </w:rPr>
        <w:t>[adresse complète]</w:t>
      </w:r>
    </w:p>
    <w:p>
      <w:pPr>
        <w:spacing w:after="40" w:before="0"/>
        <w:jc w:val="center"/>
      </w:pPr>
      <w:r>
        <w:rPr>
          <w:rFonts w:ascii="Calibri" w:hAnsi="Calibri" w:eastAsia="Calibri"/>
          <w:b/>
          <w:sz w:val="32"/>
        </w:rPr>
        <w:t>STATUTS</w:t>
      </w:r>
    </w:p>
    <w:p>
      <w:pPr>
        <w:spacing w:after="280" w:before="0"/>
        <w:jc w:val="center"/>
      </w:pPr>
      <w:r>
        <w:rPr>
          <w:rFonts w:ascii="Calibri" w:hAnsi="Calibri" w:eastAsia="Calibri"/>
          <w:i/>
          <w:sz w:val="22"/>
        </w:rPr>
        <w:t xml:space="preserve">Établis le </w:t>
      </w:r>
      <w:r>
        <w:rPr>
          <w:rFonts w:ascii="Calibri" w:hAnsi="Calibri" w:eastAsia="Calibri"/>
          <w:sz w:val="22"/>
          <w:highlight w:val="yellow"/>
        </w:rPr>
        <w:t>[date de signature]</w:t>
      </w:r>
      <w:r>
        <w:rPr>
          <w:rFonts w:ascii="Calibri" w:hAnsi="Calibri" w:eastAsia="Calibri"/>
          <w:i/>
          <w:sz w:val="22"/>
        </w:rPr>
        <w:t xml:space="preserve"> — </w:t>
      </w:r>
      <w:r>
        <w:rPr>
          <w:rFonts w:ascii="Calibri" w:hAnsi="Calibri" w:eastAsia="Calibri"/>
          <w:sz w:val="22"/>
          <w:highlight w:val="yellow"/>
        </w:rPr>
        <w:t>[mis à jour le …, le cas échéant]</w:t>
      </w:r>
    </w:p>
    <w:p>
      <w:pPr>
        <w:spacing w:after="280" w:before="0"/>
        <w:jc w:val="both"/>
      </w:pPr>
      <w:r>
        <w:rPr>
          <w:rFonts w:ascii="Calibri" w:hAnsi="Calibri" w:eastAsia="Calibri"/>
          <w:b/>
          <w:sz w:val="22"/>
        </w:rPr>
        <w:t xml:space="preserve">Mode d’emploi. </w:t>
      </w:r>
      <w:r>
        <w:rPr>
          <w:rFonts w:ascii="Calibri" w:hAnsi="Calibri" w:eastAsia="Calibri"/>
          <w:i/>
          <w:color w:val="4B5563"/>
          <w:sz w:val="22"/>
        </w:rPr>
        <w:t xml:space="preserve">Base de travail à adapter et à faire relire avant toute signature. Les passages surlignés sont à compléter ; les crochets séparés par « / » proposent des variantes, dont une seule doit être conservée ; les paragraphes marqués « Option » peuvent être supprimés (renumérotez alors les articles). </w:t>
      </w:r>
      <w:r>
        <w:rPr>
          <w:rFonts w:ascii="Calibri" w:hAnsi="Calibri" w:eastAsia="Calibri"/>
          <w:i/>
          <w:color w:val="4B5563"/>
          <w:sz w:val="22"/>
        </w:rPr>
        <w:t>Les notes pratiques de la dernière page rappellent les règles à respecter et les formalités : supprimez-les avant signature.</w:t>
      </w:r>
    </w:p>
    <w:p>
      <w:pPr>
        <w:spacing w:after="120" w:before="0"/>
      </w:pPr>
      <w:r>
        <w:rPr>
          <w:rFonts w:ascii="Calibri" w:hAnsi="Calibri" w:eastAsia="Calibri"/>
          <w:b/>
          <w:sz w:val="22"/>
        </w:rPr>
        <w:t>LES SOUSSIGNÉS :</w:t>
      </w:r>
    </w:p>
    <w:p>
      <w:pPr>
        <w:spacing w:after="80" w:before="0"/>
        <w:jc w:val="both"/>
      </w:pPr>
      <w:r>
        <w:rPr>
          <w:rFonts w:ascii="Calibri" w:hAnsi="Calibri" w:eastAsia="Calibri"/>
          <w:b/>
          <w:sz w:val="22"/>
        </w:rPr>
        <w:t xml:space="preserve">1. </w:t>
      </w:r>
      <w:r>
        <w:rPr>
          <w:rFonts w:ascii="Calibri" w:hAnsi="Calibri" w:eastAsia="Calibri"/>
          <w:sz w:val="22"/>
          <w:highlight w:val="yellow"/>
        </w:rPr>
        <w:t>[Madame / Monsieur] [Prénom NOM]</w:t>
      </w:r>
      <w:r>
        <w:rPr>
          <w:rFonts w:ascii="Calibri" w:hAnsi="Calibri" w:eastAsia="Calibri"/>
          <w:sz w:val="22"/>
        </w:rPr>
        <w:t xml:space="preserve">, 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 nationalité </w:t>
      </w:r>
      <w:r>
        <w:rPr>
          <w:rFonts w:ascii="Calibri" w:hAnsi="Calibri" w:eastAsia="Calibri"/>
          <w:sz w:val="22"/>
          <w:highlight w:val="yellow"/>
        </w:rPr>
        <w:t>[nationalité]</w:t>
      </w:r>
      <w:r>
        <w:rPr>
          <w:rFonts w:ascii="Calibri" w:hAnsi="Calibri" w:eastAsia="Calibri"/>
          <w:sz w:val="22"/>
        </w:rPr>
        <w:t xml:space="preserve">, demeurant </w:t>
      </w:r>
      <w:r>
        <w:rPr>
          <w:rFonts w:ascii="Calibri" w:hAnsi="Calibri" w:eastAsia="Calibri"/>
          <w:sz w:val="22"/>
          <w:highlight w:val="yellow"/>
        </w:rPr>
        <w:t>[adresse complète]</w:t>
      </w:r>
      <w:r>
        <w:rPr>
          <w:rFonts w:ascii="Calibri" w:hAnsi="Calibri" w:eastAsia="Calibri"/>
          <w:sz w:val="22"/>
        </w:rPr>
        <w:t xml:space="preserve">, </w:t>
      </w:r>
      <w:r>
        <w:rPr>
          <w:rFonts w:ascii="Calibri" w:hAnsi="Calibri" w:eastAsia="Calibri"/>
          <w:sz w:val="22"/>
          <w:highlight w:val="yellow"/>
        </w:rPr>
        <w:t>[célibataire / marié(e) le … à … sous le régime de … / lié(e) par un pacte civil de solidarité]</w:t>
      </w:r>
      <w:r>
        <w:rPr>
          <w:rFonts w:ascii="Calibri" w:hAnsi="Calibri" w:eastAsia="Calibri"/>
          <w:sz w:val="22"/>
        </w:rPr>
        <w:t xml:space="preserve"> ;</w:t>
      </w:r>
    </w:p>
    <w:p>
      <w:pPr>
        <w:spacing w:after="80" w:before="0"/>
        <w:jc w:val="both"/>
      </w:pPr>
      <w:r>
        <w:rPr>
          <w:rFonts w:ascii="Calibri" w:hAnsi="Calibri" w:eastAsia="Calibri"/>
          <w:b/>
          <w:sz w:val="22"/>
        </w:rPr>
        <w:t xml:space="preserve">2. </w:t>
      </w:r>
      <w:r>
        <w:rPr>
          <w:rFonts w:ascii="Calibri" w:hAnsi="Calibri" w:eastAsia="Calibri"/>
          <w:sz w:val="22"/>
          <w:highlight w:val="yellow"/>
        </w:rPr>
        <w:t>[Madame / Monsieur] [Prénom NOM]</w:t>
      </w:r>
      <w:r>
        <w:rPr>
          <w:rFonts w:ascii="Calibri" w:hAnsi="Calibri" w:eastAsia="Calibri"/>
          <w:sz w:val="22"/>
        </w:rPr>
        <w:t xml:space="preserve">, né(e) le </w:t>
      </w:r>
      <w:r>
        <w:rPr>
          <w:rFonts w:ascii="Calibri" w:hAnsi="Calibri" w:eastAsia="Calibri"/>
          <w:sz w:val="22"/>
          <w:highlight w:val="yellow"/>
        </w:rPr>
        <w:t>[date]</w:t>
      </w:r>
      <w:r>
        <w:rPr>
          <w:rFonts w:ascii="Calibri" w:hAnsi="Calibri" w:eastAsia="Calibri"/>
          <w:sz w:val="22"/>
        </w:rPr>
        <w:t xml:space="preserve"> à </w:t>
      </w:r>
      <w:r>
        <w:rPr>
          <w:rFonts w:ascii="Calibri" w:hAnsi="Calibri" w:eastAsia="Calibri"/>
          <w:sz w:val="22"/>
          <w:highlight w:val="yellow"/>
        </w:rPr>
        <w:t>[lieu]</w:t>
      </w:r>
      <w:r>
        <w:rPr>
          <w:rFonts w:ascii="Calibri" w:hAnsi="Calibri" w:eastAsia="Calibri"/>
          <w:sz w:val="22"/>
        </w:rPr>
        <w:t xml:space="preserve">, de nationalité </w:t>
      </w:r>
      <w:r>
        <w:rPr>
          <w:rFonts w:ascii="Calibri" w:hAnsi="Calibri" w:eastAsia="Calibri"/>
          <w:sz w:val="22"/>
          <w:highlight w:val="yellow"/>
        </w:rPr>
        <w:t>[nationalité]</w:t>
      </w:r>
      <w:r>
        <w:rPr>
          <w:rFonts w:ascii="Calibri" w:hAnsi="Calibri" w:eastAsia="Calibri"/>
          <w:sz w:val="22"/>
        </w:rPr>
        <w:t xml:space="preserve">, demeurant </w:t>
      </w:r>
      <w:r>
        <w:rPr>
          <w:rFonts w:ascii="Calibri" w:hAnsi="Calibri" w:eastAsia="Calibri"/>
          <w:sz w:val="22"/>
          <w:highlight w:val="yellow"/>
        </w:rPr>
        <w:t>[adresse complète]</w:t>
      </w:r>
      <w:r>
        <w:rPr>
          <w:rFonts w:ascii="Calibri" w:hAnsi="Calibri" w:eastAsia="Calibri"/>
          <w:sz w:val="22"/>
        </w:rPr>
        <w:t xml:space="preserve">, </w:t>
      </w:r>
      <w:r>
        <w:rPr>
          <w:rFonts w:ascii="Calibri" w:hAnsi="Calibri" w:eastAsia="Calibri"/>
          <w:sz w:val="22"/>
          <w:highlight w:val="yellow"/>
        </w:rPr>
        <w:t>[célibataire / marié(e) le … à … sous le régime de … / lié(e) par un pacte civil de solidarité]</w:t>
      </w:r>
      <w:r>
        <w:rPr>
          <w:rFonts w:ascii="Calibri" w:hAnsi="Calibri" w:eastAsia="Calibri"/>
          <w:sz w:val="22"/>
        </w:rPr>
        <w:t xml:space="preserve"> ;</w:t>
      </w:r>
    </w:p>
    <w:p>
      <w:pPr>
        <w:spacing w:after="120" w:before="0"/>
        <w:jc w:val="both"/>
      </w:pPr>
      <w:r>
        <w:rPr>
          <w:rFonts w:ascii="Calibri" w:hAnsi="Calibri" w:eastAsia="Calibri"/>
          <w:sz w:val="22"/>
          <w:highlight w:val="yellow"/>
        </w:rPr>
        <w:t>[Ajouter un paragraphe par associé ; pour un associé personne morale, indiquer sa dénomination, sa forme, son capital, son siège, son immatriculation et son représentant.]</w:t>
      </w:r>
    </w:p>
    <w:p>
      <w:pPr>
        <w:spacing w:after="80" w:before="0"/>
        <w:jc w:val="both"/>
      </w:pPr>
      <w:r>
        <w:rPr>
          <w:rFonts w:ascii="Calibri" w:hAnsi="Calibri" w:eastAsia="Calibri"/>
          <w:sz w:val="22"/>
        </w:rPr>
        <w:t>ci-après ensemble dénommés « les Associés »,</w:t>
      </w:r>
    </w:p>
    <w:p>
      <w:pPr>
        <w:spacing w:after="160" w:before="0"/>
        <w:jc w:val="both"/>
      </w:pPr>
      <w:r>
        <w:rPr>
          <w:rFonts w:ascii="Calibri" w:hAnsi="Calibri" w:eastAsia="Calibri"/>
          <w:sz w:val="22"/>
        </w:rPr>
        <w:t>ont établi ainsi qu’il suit les statuts de la société à responsabilité limitée qu’ils sont convenus de constituer entre eux.</w:t>
      </w:r>
    </w:p>
    <w:p>
      <w:pPr>
        <w:keepNext/>
        <w:spacing w:after="160" w:before="240"/>
        <w:jc w:val="center"/>
      </w:pPr>
      <w:r>
        <w:rPr>
          <w:rFonts w:ascii="Calibri" w:hAnsi="Calibri" w:eastAsia="Calibri"/>
          <w:b/>
          <w:sz w:val="23"/>
        </w:rPr>
        <w:t>TITRE I — FORME — OBJET — DÉNOMINATION — SIÈGE — DURÉE</w:t>
      </w:r>
    </w:p>
    <w:p>
      <w:pPr>
        <w:keepNext/>
        <w:spacing w:after="80" w:before="120"/>
      </w:pPr>
      <w:r>
        <w:rPr>
          <w:rFonts w:ascii="Calibri" w:hAnsi="Calibri" w:eastAsia="Calibri"/>
          <w:b/>
          <w:sz w:val="22"/>
        </w:rPr>
        <w:t>Article 1 — Forme</w:t>
      </w:r>
    </w:p>
    <w:p>
      <w:pPr>
        <w:spacing w:after="120" w:before="0"/>
        <w:jc w:val="both"/>
      </w:pPr>
      <w:r>
        <w:rPr>
          <w:rFonts w:ascii="Calibri" w:hAnsi="Calibri" w:eastAsia="Calibri"/>
          <w:sz w:val="22"/>
        </w:rPr>
        <w:t>Il est formé entre les propriétaires des parts sociales ci-après créées et de celles qui pourraient l’être ultérieurement une société à responsabilité limitée régie par les articles L. 223-1 et suivants du code de commerce, par les autres dispositions légales et réglementaires en vigueur et par les présents statuts.</w:t>
      </w:r>
    </w:p>
    <w:p>
      <w:pPr>
        <w:spacing w:after="120" w:before="0"/>
        <w:jc w:val="both"/>
      </w:pPr>
      <w:r>
        <w:rPr>
          <w:rFonts w:ascii="Calibri" w:hAnsi="Calibri" w:eastAsia="Calibri"/>
          <w:sz w:val="22"/>
        </w:rPr>
        <w:t>Le nombre des associés ne peut être supérieur à cent. La société peut ne comporter qu’un seul associé : la réunion de toutes les parts en une seule main n’ouvre pas l’action en dissolution judiciaire prévue à l’article 1844-5 du code civil, et l’associé unique exerce alors les pouvoirs dévolus à l’assemblée des associés.</w:t>
      </w:r>
    </w:p>
    <w:p>
      <w:pPr>
        <w:keepNext/>
        <w:spacing w:after="80" w:before="120"/>
      </w:pPr>
      <w:r>
        <w:rPr>
          <w:rFonts w:ascii="Calibri" w:hAnsi="Calibri" w:eastAsia="Calibri"/>
          <w:b/>
          <w:sz w:val="22"/>
        </w:rPr>
        <w:t>Article 2 — Objet</w:t>
      </w:r>
    </w:p>
    <w:p>
      <w:pPr>
        <w:spacing w:after="120" w:before="0"/>
        <w:jc w:val="both"/>
      </w:pPr>
      <w:r>
        <w:rPr>
          <w:rFonts w:ascii="Calibri" w:hAnsi="Calibri" w:eastAsia="Calibri"/>
          <w:sz w:val="22"/>
        </w:rPr>
        <w:t>La société a pour objet, en France et à l’étranger :</w:t>
      </w:r>
    </w:p>
    <w:p>
      <w:pPr>
        <w:spacing w:after="60" w:before="0"/>
        <w:jc w:val="both"/>
      </w:pPr>
      <w:r>
        <w:rPr>
          <w:rFonts w:ascii="Calibri" w:hAnsi="Calibri" w:eastAsia="Calibri"/>
          <w:sz w:val="22"/>
        </w:rPr>
        <w:t xml:space="preserve">– </w:t>
      </w:r>
      <w:r>
        <w:rPr>
          <w:rFonts w:ascii="Calibri" w:hAnsi="Calibri" w:eastAsia="Calibri"/>
          <w:sz w:val="22"/>
          <w:highlight w:val="yellow"/>
        </w:rPr>
        <w:t>[décrire précisément l’activité principale]</w:t>
      </w:r>
      <w:r>
        <w:rPr>
          <w:rFonts w:ascii="Calibri" w:hAnsi="Calibri" w:eastAsia="Calibri"/>
          <w:sz w:val="22"/>
        </w:rPr>
        <w:t xml:space="preserve"> ;</w:t>
      </w:r>
    </w:p>
    <w:p>
      <w:pPr>
        <w:spacing w:after="60" w:before="0"/>
        <w:jc w:val="both"/>
      </w:pPr>
      <w:r>
        <w:rPr>
          <w:rFonts w:ascii="Calibri" w:hAnsi="Calibri" w:eastAsia="Calibri"/>
          <w:sz w:val="22"/>
        </w:rPr>
        <w:t xml:space="preserve">– </w:t>
      </w:r>
      <w:r>
        <w:rPr>
          <w:rFonts w:ascii="Calibri" w:hAnsi="Calibri" w:eastAsia="Calibri"/>
          <w:sz w:val="22"/>
          <w:highlight w:val="yellow"/>
        </w:rPr>
        <w:t>[activités annexes ou complémentaires, le cas échéant]</w:t>
      </w:r>
      <w:r>
        <w:rPr>
          <w:rFonts w:ascii="Calibri" w:hAnsi="Calibri" w:eastAsia="Calibri"/>
          <w:sz w:val="22"/>
        </w:rPr>
        <w:t xml:space="preserve"> ;</w:t>
      </w:r>
    </w:p>
    <w:p>
      <w:pPr>
        <w:spacing w:after="120" w:before="0"/>
        <w:jc w:val="both"/>
      </w:pPr>
      <w:r>
        <w:rPr>
          <w:rFonts w:ascii="Calibri" w:hAnsi="Calibri" w:eastAsia="Calibri"/>
          <w:sz w:val="22"/>
        </w:rPr>
        <w:t>et, plus généralement, toutes opérations industrielles, commerciales, financières, civiles, mobilières ou immobilières pouvant se rattacher directement ou indirectement à l’objet social ou à tout objet similaire ou connexe, de nature à en favoriser la réalisation ou le développement.</w:t>
      </w:r>
    </w:p>
    <w:p>
      <w:pPr>
        <w:spacing w:after="120" w:before="0"/>
        <w:jc w:val="both"/>
      </w:pPr>
      <w:r>
        <w:rPr>
          <w:rFonts w:ascii="Calibri" w:hAnsi="Calibri" w:eastAsia="Calibri"/>
          <w:b/>
          <w:sz w:val="22"/>
          <w:highlight w:val="yellow"/>
        </w:rPr>
        <w:t>[Option — raison d’être]</w:t>
      </w:r>
      <w:r>
        <w:rPr>
          <w:rFonts w:ascii="Calibri" w:hAnsi="Calibri" w:eastAsia="Calibri"/>
          <w:sz w:val="22"/>
        </w:rPr>
        <w:t xml:space="preserve"> </w:t>
      </w:r>
      <w:r>
        <w:rPr>
          <w:rFonts w:ascii="Calibri" w:hAnsi="Calibri" w:eastAsia="Calibri"/>
          <w:sz w:val="22"/>
        </w:rPr>
        <w:t xml:space="preserve">Conformément à l’article 1835 du code civil, la société se dote de la raison d’être suivante : </w:t>
      </w:r>
      <w:r>
        <w:rPr>
          <w:rFonts w:ascii="Calibri" w:hAnsi="Calibri" w:eastAsia="Calibri"/>
          <w:sz w:val="22"/>
          <w:highlight w:val="yellow"/>
        </w:rPr>
        <w:t>[principes dont la société se dote et pour le respect desquels elle entend affecter des moyens dans la réalisation de son activité]</w:t>
      </w:r>
      <w:r>
        <w:rPr>
          <w:rFonts w:ascii="Calibri" w:hAnsi="Calibri" w:eastAsia="Calibri"/>
          <w:sz w:val="22"/>
        </w:rPr>
        <w:t>.</w:t>
      </w:r>
    </w:p>
    <w:p>
      <w:pPr>
        <w:keepNext/>
        <w:spacing w:after="80" w:before="120"/>
      </w:pPr>
      <w:r>
        <w:rPr>
          <w:rFonts w:ascii="Calibri" w:hAnsi="Calibri" w:eastAsia="Calibri"/>
          <w:b/>
          <w:sz w:val="22"/>
        </w:rPr>
        <w:t>Article 3 — Dénomination</w:t>
      </w:r>
    </w:p>
    <w:p>
      <w:pPr>
        <w:spacing w:after="120" w:before="0"/>
        <w:jc w:val="both"/>
      </w:pPr>
      <w:r>
        <w:rPr>
          <w:rFonts w:ascii="Calibri" w:hAnsi="Calibri" w:eastAsia="Calibri"/>
          <w:sz w:val="22"/>
        </w:rPr>
        <w:t xml:space="preserve">La dénomination sociale est : </w:t>
      </w:r>
      <w:r>
        <w:rPr>
          <w:rFonts w:ascii="Calibri" w:hAnsi="Calibri" w:eastAsia="Calibri"/>
          <w:b/>
          <w:sz w:val="22"/>
          <w:highlight w:val="yellow"/>
        </w:rPr>
        <w:t>[DÉNOMINATION]</w:t>
      </w:r>
      <w:r>
        <w:rPr>
          <w:rFonts w:ascii="Calibri" w:hAnsi="Calibri" w:eastAsia="Calibri"/>
          <w:sz w:val="22"/>
        </w:rPr>
        <w:t xml:space="preserve">. </w:t>
      </w:r>
      <w:r>
        <w:rPr>
          <w:rFonts w:ascii="Calibri" w:hAnsi="Calibri" w:eastAsia="Calibri"/>
          <w:sz w:val="22"/>
          <w:highlight w:val="yellow"/>
        </w:rPr>
        <w:t>[Sigle : … — à supprimer s’il n’y en a pas.]</w:t>
      </w:r>
    </w:p>
    <w:p>
      <w:pPr>
        <w:spacing w:after="120" w:before="0"/>
        <w:jc w:val="both"/>
      </w:pPr>
      <w:r>
        <w:rPr>
          <w:rFonts w:ascii="Calibri" w:hAnsi="Calibri" w:eastAsia="Calibri"/>
          <w:sz w:val="22"/>
        </w:rPr>
        <w:t>Dans tous les actes et documents émanant de la société et destinés aux tiers, la dénomination doit être précédée ou suivie immédiatement des mots « société à responsabilité limitée » ou des initiales « SARL » et de l’énonciation du capital social, ainsi que des autres mentions exigées par la réglementation.</w:t>
      </w:r>
    </w:p>
    <w:p>
      <w:pPr>
        <w:keepNext/>
        <w:spacing w:after="80" w:before="120"/>
      </w:pPr>
      <w:r>
        <w:rPr>
          <w:rFonts w:ascii="Calibri" w:hAnsi="Calibri" w:eastAsia="Calibri"/>
          <w:b/>
          <w:sz w:val="22"/>
        </w:rPr>
        <w:t>Article 4 — Siège social</w:t>
      </w:r>
    </w:p>
    <w:p>
      <w:pPr>
        <w:spacing w:after="120" w:before="0"/>
        <w:jc w:val="both"/>
      </w:pPr>
      <w:r>
        <w:rPr>
          <w:rFonts w:ascii="Calibri" w:hAnsi="Calibri" w:eastAsia="Calibri"/>
          <w:sz w:val="22"/>
        </w:rPr>
        <w:t xml:space="preserve">Le siège social est fixé : </w:t>
      </w:r>
      <w:r>
        <w:rPr>
          <w:rFonts w:ascii="Calibri" w:hAnsi="Calibri" w:eastAsia="Calibri"/>
          <w:sz w:val="22"/>
          <w:highlight w:val="yellow"/>
        </w:rPr>
        <w:t>[adresse complète]</w:t>
      </w:r>
      <w:r>
        <w:rPr>
          <w:rFonts w:ascii="Calibri" w:hAnsi="Calibri" w:eastAsia="Calibri"/>
          <w:sz w:val="22"/>
        </w:rPr>
        <w:t>.</w:t>
      </w:r>
    </w:p>
    <w:p>
      <w:pPr>
        <w:spacing w:after="120" w:before="0"/>
        <w:jc w:val="both"/>
      </w:pPr>
      <w:r>
        <w:rPr>
          <w:rFonts w:ascii="Calibri" w:hAnsi="Calibri" w:eastAsia="Calibri"/>
          <w:sz w:val="22"/>
        </w:rPr>
        <w:t>Il peut être déplacé en tout endroit du territoire français par décision de la gérance, sous réserve de ratification de cette décision par les associés statuant dans les conditions prévues à l’article 17 pour les décisions ordinaires ; la gérance est alors habilitée à modifier les statuts en conséquence. Il peut aussi être transféré par décision des associés représentant plus de la moitié des parts sociales.</w:t>
      </w:r>
    </w:p>
    <w:p>
      <w:pPr>
        <w:keepNext/>
        <w:spacing w:after="80" w:before="120"/>
      </w:pPr>
      <w:r>
        <w:rPr>
          <w:rFonts w:ascii="Calibri" w:hAnsi="Calibri" w:eastAsia="Calibri"/>
          <w:b/>
          <w:sz w:val="22"/>
        </w:rPr>
        <w:t>Article 5 — Durée</w:t>
      </w:r>
    </w:p>
    <w:p>
      <w:pPr>
        <w:spacing w:after="120" w:before="0"/>
        <w:jc w:val="both"/>
      </w:pPr>
      <w:r>
        <w:rPr>
          <w:rFonts w:ascii="Calibri" w:hAnsi="Calibri" w:eastAsia="Calibri"/>
          <w:sz w:val="22"/>
        </w:rPr>
        <w:t xml:space="preserve">La durée de la société est fixée à </w:t>
      </w:r>
      <w:r>
        <w:rPr>
          <w:rFonts w:ascii="Calibri" w:hAnsi="Calibri" w:eastAsia="Calibri"/>
          <w:sz w:val="22"/>
          <w:highlight w:val="yellow"/>
        </w:rPr>
        <w:t>[quatre-vingt-dix-neuf]</w:t>
      </w:r>
      <w:r>
        <w:rPr>
          <w:rFonts w:ascii="Calibri" w:hAnsi="Calibri" w:eastAsia="Calibri"/>
          <w:sz w:val="22"/>
        </w:rPr>
        <w:t xml:space="preserve"> années à compter de son immatriculation au registre du commerce et des sociétés, sauf dissolution anticipée ou prorogation.</w:t>
      </w:r>
    </w:p>
    <w:p>
      <w:pPr>
        <w:spacing w:after="120" w:before="0"/>
        <w:jc w:val="both"/>
      </w:pPr>
      <w:r>
        <w:rPr>
          <w:rFonts w:ascii="Calibri" w:hAnsi="Calibri" w:eastAsia="Calibri"/>
          <w:sz w:val="22"/>
        </w:rPr>
        <w:t xml:space="preserve">Un an au moins avant la date d’expiration de la société, </w:t>
      </w:r>
      <w:r>
        <w:rPr>
          <w:rFonts w:ascii="Calibri" w:hAnsi="Calibri" w:eastAsia="Calibri"/>
          <w:sz w:val="22"/>
        </w:rPr>
        <w:t>la gérance</w:t>
      </w:r>
      <w:r>
        <w:rPr>
          <w:rFonts w:ascii="Calibri" w:hAnsi="Calibri" w:eastAsia="Calibri"/>
          <w:sz w:val="22"/>
        </w:rPr>
        <w:t xml:space="preserve"> consulte </w:t>
      </w:r>
      <w:r>
        <w:rPr>
          <w:rFonts w:ascii="Calibri" w:hAnsi="Calibri" w:eastAsia="Calibri"/>
          <w:sz w:val="22"/>
        </w:rPr>
        <w:t>les associés</w:t>
      </w:r>
      <w:r>
        <w:rPr>
          <w:rFonts w:ascii="Calibri" w:hAnsi="Calibri" w:eastAsia="Calibri"/>
          <w:sz w:val="22"/>
        </w:rPr>
        <w:t xml:space="preserve"> à l’effet de décider si la société doit être prorogée.</w:t>
      </w:r>
    </w:p>
    <w:p>
      <w:pPr>
        <w:keepNext/>
        <w:spacing w:after="160" w:before="240"/>
        <w:jc w:val="center"/>
      </w:pPr>
      <w:r>
        <w:rPr>
          <w:rFonts w:ascii="Calibri" w:hAnsi="Calibri" w:eastAsia="Calibri"/>
          <w:b/>
          <w:sz w:val="23"/>
        </w:rPr>
        <w:t>TITRE II — APPORTS — CAPITAL SOCIAL — PARTS SOCIALES</w:t>
      </w:r>
    </w:p>
    <w:p>
      <w:pPr>
        <w:keepNext/>
        <w:spacing w:after="80" w:before="120"/>
      </w:pPr>
      <w:r>
        <w:rPr>
          <w:rFonts w:ascii="Calibri" w:hAnsi="Calibri" w:eastAsia="Calibri"/>
          <w:b/>
          <w:sz w:val="22"/>
        </w:rPr>
        <w:t>Article 6 — Apports</w:t>
      </w:r>
    </w:p>
    <w:p>
      <w:pPr>
        <w:spacing w:after="120" w:before="0"/>
        <w:jc w:val="both"/>
      </w:pPr>
      <w:r>
        <w:rPr>
          <w:rFonts w:ascii="Calibri" w:hAnsi="Calibri" w:eastAsia="Calibri"/>
          <w:sz w:val="22"/>
        </w:rPr>
        <w:t>Les associés font à la société les apports suivants :</w:t>
      </w:r>
    </w:p>
    <w:p>
      <w:pPr>
        <w:keepNext/>
        <w:spacing w:after="80" w:before="80"/>
      </w:pPr>
      <w:r>
        <w:rPr>
          <w:rFonts w:ascii="Calibri" w:hAnsi="Calibri" w:eastAsia="Calibri"/>
          <w:b/>
          <w:sz w:val="22"/>
        </w:rPr>
        <w:t>1. Apports en numéraire</w:t>
      </w:r>
    </w:p>
    <w:p>
      <w:pPr>
        <w:spacing w:after="60" w:before="0"/>
        <w:jc w:val="both"/>
      </w:pPr>
      <w:r>
        <w:rPr>
          <w:rFonts w:ascii="Calibri" w:hAnsi="Calibri" w:eastAsia="Calibri"/>
          <w:sz w:val="22"/>
        </w:rPr>
        <w:t xml:space="preserve">– </w:t>
      </w:r>
      <w:r>
        <w:rPr>
          <w:rFonts w:ascii="Calibri" w:hAnsi="Calibri" w:eastAsia="Calibri"/>
          <w:sz w:val="22"/>
          <w:highlight w:val="yellow"/>
        </w:rPr>
        <w:t>[Prénom NOM / dénomination]</w:t>
      </w:r>
      <w:r>
        <w:rPr>
          <w:rFonts w:ascii="Calibri" w:hAnsi="Calibri" w:eastAsia="Calibri"/>
          <w:sz w:val="22"/>
        </w:rPr>
        <w:t xml:space="preserve"> : la somme de </w:t>
      </w:r>
      <w:r>
        <w:rPr>
          <w:rFonts w:ascii="Calibri" w:hAnsi="Calibri" w:eastAsia="Calibri"/>
          <w:sz w:val="22"/>
          <w:highlight w:val="yellow"/>
        </w:rPr>
        <w:t>[montant]</w:t>
      </w:r>
      <w:r>
        <w:rPr>
          <w:rFonts w:ascii="Calibri" w:hAnsi="Calibri" w:eastAsia="Calibri"/>
          <w:sz w:val="22"/>
        </w:rPr>
        <w:t xml:space="preserve"> € ;</w:t>
      </w:r>
    </w:p>
    <w:p>
      <w:pPr>
        <w:spacing w:after="60" w:before="0"/>
        <w:jc w:val="both"/>
      </w:pPr>
      <w:r>
        <w:rPr>
          <w:rFonts w:ascii="Calibri" w:hAnsi="Calibri" w:eastAsia="Calibri"/>
          <w:sz w:val="22"/>
        </w:rPr>
        <w:t xml:space="preserve">– </w:t>
      </w:r>
      <w:r>
        <w:rPr>
          <w:rFonts w:ascii="Calibri" w:hAnsi="Calibri" w:eastAsia="Calibri"/>
          <w:sz w:val="22"/>
          <w:highlight w:val="yellow"/>
        </w:rPr>
        <w:t>[Prénom NOM / dénomination]</w:t>
      </w:r>
      <w:r>
        <w:rPr>
          <w:rFonts w:ascii="Calibri" w:hAnsi="Calibri" w:eastAsia="Calibri"/>
          <w:sz w:val="22"/>
        </w:rPr>
        <w:t xml:space="preserve"> : la somme de </w:t>
      </w:r>
      <w:r>
        <w:rPr>
          <w:rFonts w:ascii="Calibri" w:hAnsi="Calibri" w:eastAsia="Calibri"/>
          <w:sz w:val="22"/>
          <w:highlight w:val="yellow"/>
        </w:rPr>
        <w:t>[montant]</w:t>
      </w:r>
      <w:r>
        <w:rPr>
          <w:rFonts w:ascii="Calibri" w:hAnsi="Calibri" w:eastAsia="Calibri"/>
          <w:sz w:val="22"/>
        </w:rPr>
        <w:t xml:space="preserve"> € ;</w:t>
      </w:r>
    </w:p>
    <w:p>
      <w:pPr>
        <w:spacing w:after="120" w:before="0"/>
        <w:jc w:val="both"/>
      </w:pPr>
      <w:r>
        <w:rPr>
          <w:rFonts w:ascii="Calibri" w:hAnsi="Calibri" w:eastAsia="Calibri"/>
          <w:sz w:val="22"/>
        </w:rPr>
        <w:t xml:space="preserve">soit au total la somme de </w:t>
      </w:r>
      <w:r>
        <w:rPr>
          <w:rFonts w:ascii="Calibri" w:hAnsi="Calibri" w:eastAsia="Calibri"/>
          <w:sz w:val="22"/>
          <w:highlight w:val="yellow"/>
        </w:rPr>
        <w:t>[montant]</w:t>
      </w:r>
      <w:r>
        <w:rPr>
          <w:rFonts w:ascii="Calibri" w:hAnsi="Calibri" w:eastAsia="Calibri"/>
          <w:sz w:val="22"/>
        </w:rPr>
        <w:t xml:space="preserve"> €, correspondant à </w:t>
      </w:r>
      <w:r>
        <w:rPr>
          <w:rFonts w:ascii="Calibri" w:hAnsi="Calibri" w:eastAsia="Calibri"/>
          <w:sz w:val="22"/>
          <w:highlight w:val="yellow"/>
        </w:rPr>
        <w:t>[nombre]</w:t>
      </w:r>
      <w:r>
        <w:rPr>
          <w:rFonts w:ascii="Calibri" w:hAnsi="Calibri" w:eastAsia="Calibri"/>
          <w:sz w:val="22"/>
        </w:rPr>
        <w:t xml:space="preserve"> parts sociales souscrites en numéraire et libérées </w:t>
      </w:r>
      <w:r>
        <w:rPr>
          <w:rFonts w:ascii="Calibri" w:hAnsi="Calibri" w:eastAsia="Calibri"/>
          <w:sz w:val="22"/>
          <w:highlight w:val="yellow"/>
        </w:rPr>
        <w:t>[en totalité / à concurrence de … %, soit au moins un cinquième]</w:t>
      </w:r>
      <w:r>
        <w:rPr>
          <w:rFonts w:ascii="Calibri" w:hAnsi="Calibri" w:eastAsia="Calibri"/>
          <w:sz w:val="22"/>
        </w:rPr>
        <w:t xml:space="preserve"> de leur montant.</w:t>
      </w:r>
    </w:p>
    <w:p>
      <w:pPr>
        <w:spacing w:after="120" w:before="0"/>
        <w:jc w:val="both"/>
      </w:pPr>
      <w:r>
        <w:rPr>
          <w:rFonts w:ascii="Calibri" w:hAnsi="Calibri" w:eastAsia="Calibri"/>
          <w:sz w:val="22"/>
        </w:rPr>
        <w:t xml:space="preserve">Les fonds correspondants ont été déposés le </w:t>
      </w:r>
      <w:r>
        <w:rPr>
          <w:rFonts w:ascii="Calibri" w:hAnsi="Calibri" w:eastAsia="Calibri"/>
          <w:sz w:val="22"/>
          <w:highlight w:val="yellow"/>
        </w:rPr>
        <w:t>[date]</w:t>
      </w:r>
      <w:r>
        <w:rPr>
          <w:rFonts w:ascii="Calibri" w:hAnsi="Calibri" w:eastAsia="Calibri"/>
          <w:sz w:val="22"/>
        </w:rPr>
        <w:t xml:space="preserve">, dans les huit jours de leur réception, à un compte ouvert au nom de la société en formation auprès de </w:t>
      </w:r>
      <w:r>
        <w:rPr>
          <w:rFonts w:ascii="Calibri" w:hAnsi="Calibri" w:eastAsia="Calibri"/>
          <w:sz w:val="22"/>
          <w:highlight w:val="yellow"/>
        </w:rPr>
        <w:t>[dénomination de l’établissement de crédit, adresse / Maître …, notaire]</w:t>
      </w:r>
      <w:r>
        <w:rPr>
          <w:rFonts w:ascii="Calibri" w:hAnsi="Calibri" w:eastAsia="Calibri"/>
          <w:sz w:val="22"/>
        </w:rPr>
        <w:t>, ainsi qu’il résulte du certificat établi par le dépositaire.</w:t>
      </w:r>
    </w:p>
    <w:p>
      <w:pPr>
        <w:spacing w:after="120" w:before="0"/>
        <w:jc w:val="both"/>
      </w:pPr>
      <w:r>
        <w:rPr>
          <w:rFonts w:ascii="Calibri" w:hAnsi="Calibri" w:eastAsia="Calibri"/>
          <w:b/>
          <w:sz w:val="22"/>
          <w:highlight w:val="yellow"/>
        </w:rPr>
        <w:t>[Option — libération partielle]</w:t>
      </w:r>
      <w:r>
        <w:rPr>
          <w:rFonts w:ascii="Calibri" w:hAnsi="Calibri" w:eastAsia="Calibri"/>
          <w:sz w:val="22"/>
        </w:rPr>
        <w:t xml:space="preserve"> </w:t>
      </w:r>
      <w:r>
        <w:rPr>
          <w:rFonts w:ascii="Calibri" w:hAnsi="Calibri" w:eastAsia="Calibri"/>
          <w:sz w:val="22"/>
        </w:rPr>
        <w:t xml:space="preserve">Le surplus sera libéré en une ou plusieurs fois sur décision de la gérance, dans un délai qui ne peut excéder cinq ans à compter de l’immatriculation de la société au registre du commerce et des sociétés. Les associés sont avisés de chaque appel de fonds </w:t>
      </w:r>
      <w:r>
        <w:rPr>
          <w:rFonts w:ascii="Calibri" w:hAnsi="Calibri" w:eastAsia="Calibri"/>
          <w:sz w:val="22"/>
          <w:highlight w:val="yellow"/>
        </w:rPr>
        <w:t>[quinze]</w:t>
      </w:r>
      <w:r>
        <w:rPr>
          <w:rFonts w:ascii="Calibri" w:hAnsi="Calibri" w:eastAsia="Calibri"/>
          <w:sz w:val="22"/>
        </w:rPr>
        <w:t xml:space="preserve"> jours au moins avant la date fixée pour le versement.</w:t>
      </w:r>
    </w:p>
    <w:p>
      <w:pPr>
        <w:keepNext/>
        <w:spacing w:after="80" w:before="80"/>
      </w:pPr>
      <w:r>
        <w:rPr>
          <w:rFonts w:ascii="Calibri" w:hAnsi="Calibri" w:eastAsia="Calibri"/>
          <w:b/>
          <w:sz w:val="22"/>
        </w:rPr>
        <w:t>2. Apports en nature (option)</w:t>
      </w:r>
    </w:p>
    <w:p>
      <w:pPr>
        <w:spacing w:after="120" w:before="0"/>
        <w:jc w:val="both"/>
      </w:pPr>
      <w:r>
        <w:rPr>
          <w:rFonts w:ascii="Calibri" w:hAnsi="Calibri" w:eastAsia="Calibri"/>
          <w:sz w:val="22"/>
          <w:highlight w:val="yellow"/>
        </w:rPr>
        <w:t>[Prénom NOM / dénomination]</w:t>
      </w:r>
      <w:r>
        <w:rPr>
          <w:rFonts w:ascii="Calibri" w:hAnsi="Calibri" w:eastAsia="Calibri"/>
          <w:sz w:val="22"/>
        </w:rPr>
        <w:t xml:space="preserve"> apporte à la société </w:t>
      </w:r>
      <w:r>
        <w:rPr>
          <w:rFonts w:ascii="Calibri" w:hAnsi="Calibri" w:eastAsia="Calibri"/>
          <w:sz w:val="22"/>
          <w:highlight w:val="yellow"/>
        </w:rPr>
        <w:t>[désignation précise du bien apporté ; origine de propriété ; charges et conditions]</w:t>
      </w:r>
      <w:r>
        <w:rPr>
          <w:rFonts w:ascii="Calibri" w:hAnsi="Calibri" w:eastAsia="Calibri"/>
          <w:sz w:val="22"/>
        </w:rPr>
        <w:t xml:space="preserve">, évalué à </w:t>
      </w:r>
      <w:r>
        <w:rPr>
          <w:rFonts w:ascii="Calibri" w:hAnsi="Calibri" w:eastAsia="Calibri"/>
          <w:sz w:val="22"/>
          <w:highlight w:val="yellow"/>
        </w:rPr>
        <w:t>[montant]</w:t>
      </w:r>
      <w:r>
        <w:rPr>
          <w:rFonts w:ascii="Calibri" w:hAnsi="Calibri" w:eastAsia="Calibri"/>
          <w:sz w:val="22"/>
        </w:rPr>
        <w:t xml:space="preserve"> €. En rémunération de cet apport, il lui est attribué </w:t>
      </w:r>
      <w:r>
        <w:rPr>
          <w:rFonts w:ascii="Calibri" w:hAnsi="Calibri" w:eastAsia="Calibri"/>
          <w:sz w:val="22"/>
          <w:highlight w:val="yellow"/>
        </w:rPr>
        <w:t>[nombre]</w:t>
      </w:r>
      <w:r>
        <w:rPr>
          <w:rFonts w:ascii="Calibri" w:hAnsi="Calibri" w:eastAsia="Calibri"/>
          <w:sz w:val="22"/>
        </w:rPr>
        <w:t xml:space="preserve"> parts sociales, entièrement libérées.</w:t>
      </w:r>
    </w:p>
    <w:p>
      <w:pPr>
        <w:spacing w:after="120" w:before="0"/>
        <w:jc w:val="both"/>
      </w:pPr>
      <w:r>
        <w:rPr>
          <w:rFonts w:ascii="Calibri" w:hAnsi="Calibri" w:eastAsia="Calibri"/>
          <w:b/>
          <w:sz w:val="22"/>
          <w:highlight w:val="yellow"/>
        </w:rPr>
        <w:t>[Variante A]</w:t>
      </w:r>
      <w:r>
        <w:rPr>
          <w:rFonts w:ascii="Calibri" w:hAnsi="Calibri" w:eastAsia="Calibri"/>
          <w:sz w:val="22"/>
        </w:rPr>
        <w:t xml:space="preserve"> L’évaluation de cet apport a été faite au vu du rapport annexé aux présents statuts (annexe 2), établi sous sa responsabilité par </w:t>
      </w:r>
      <w:r>
        <w:rPr>
          <w:rFonts w:ascii="Calibri" w:hAnsi="Calibri" w:eastAsia="Calibri"/>
          <w:sz w:val="22"/>
          <w:highlight w:val="yellow"/>
        </w:rPr>
        <w:t>[nom]</w:t>
      </w:r>
      <w:r>
        <w:rPr>
          <w:rFonts w:ascii="Calibri" w:hAnsi="Calibri" w:eastAsia="Calibri"/>
          <w:sz w:val="22"/>
        </w:rPr>
        <w:t xml:space="preserve">, commissaire aux apports désigné </w:t>
      </w:r>
      <w:r>
        <w:rPr>
          <w:rFonts w:ascii="Calibri" w:hAnsi="Calibri" w:eastAsia="Calibri"/>
          <w:sz w:val="22"/>
          <w:highlight w:val="yellow"/>
        </w:rPr>
        <w:t>[à l’unanimité des futurs associés / par décision de justice]</w:t>
      </w:r>
      <w:r>
        <w:rPr>
          <w:rFonts w:ascii="Calibri" w:hAnsi="Calibri" w:eastAsia="Calibri"/>
          <w:sz w:val="22"/>
        </w:rPr>
        <w:t>.</w:t>
      </w:r>
    </w:p>
    <w:p>
      <w:pPr>
        <w:spacing w:after="120" w:before="0"/>
        <w:jc w:val="both"/>
      </w:pPr>
      <w:r>
        <w:rPr>
          <w:rFonts w:ascii="Calibri" w:hAnsi="Calibri" w:eastAsia="Calibri"/>
          <w:b/>
          <w:sz w:val="22"/>
          <w:highlight w:val="yellow"/>
        </w:rPr>
        <w:t>[Variante B]</w:t>
      </w:r>
      <w:r>
        <w:rPr>
          <w:rFonts w:ascii="Calibri" w:hAnsi="Calibri" w:eastAsia="Calibri"/>
          <w:sz w:val="22"/>
        </w:rPr>
        <w:t xml:space="preserve"> Les futurs associés ont décidé à l’unanimité de ne pas recourir à un commissaire aux apports, la valeur d’aucun apport en nature n’excédant 30 000 € et la valeur totale des apports en nature non soumis à l’évaluation d’un commissaire aux apports n’excédant pas la moitié du capital. Ils déclarent savoir qu’ils sont alors solidairement responsables pendant cinq ans, à l’égard des tiers, de la valeur attribuée à ces apports.</w:t>
      </w:r>
    </w:p>
    <w:p>
      <w:pPr>
        <w:keepNext/>
        <w:spacing w:after="80" w:before="80"/>
      </w:pPr>
      <w:r>
        <w:rPr>
          <w:rFonts w:ascii="Calibri" w:hAnsi="Calibri" w:eastAsia="Calibri"/>
          <w:b/>
          <w:sz w:val="22"/>
        </w:rPr>
        <w:t>3. Apports en industrie (option)</w:t>
      </w:r>
    </w:p>
    <w:p>
      <w:pPr>
        <w:spacing w:after="120" w:before="0"/>
        <w:jc w:val="both"/>
      </w:pPr>
      <w:r>
        <w:rPr>
          <w:rFonts w:ascii="Calibri" w:hAnsi="Calibri" w:eastAsia="Calibri"/>
          <w:sz w:val="22"/>
          <w:highlight w:val="yellow"/>
        </w:rPr>
        <w:t>[Prénom NOM]</w:t>
      </w:r>
      <w:r>
        <w:rPr>
          <w:rFonts w:ascii="Calibri" w:hAnsi="Calibri" w:eastAsia="Calibri"/>
          <w:sz w:val="22"/>
        </w:rPr>
        <w:t xml:space="preserve"> apporte son industrie, consistant en </w:t>
      </w:r>
      <w:r>
        <w:rPr>
          <w:rFonts w:ascii="Calibri" w:hAnsi="Calibri" w:eastAsia="Calibri"/>
          <w:sz w:val="22"/>
          <w:highlight w:val="yellow"/>
        </w:rPr>
        <w:t>[connaissances, travail ou services apportés]</w:t>
      </w:r>
      <w:r>
        <w:rPr>
          <w:rFonts w:ascii="Calibri" w:hAnsi="Calibri" w:eastAsia="Calibri"/>
          <w:sz w:val="22"/>
        </w:rPr>
        <w:t xml:space="preserve">, pour une durée de </w:t>
      </w:r>
      <w:r>
        <w:rPr>
          <w:rFonts w:ascii="Calibri" w:hAnsi="Calibri" w:eastAsia="Calibri"/>
          <w:sz w:val="22"/>
          <w:highlight w:val="yellow"/>
        </w:rPr>
        <w:t>[durée]</w:t>
      </w:r>
      <w:r>
        <w:rPr>
          <w:rFonts w:ascii="Calibri" w:hAnsi="Calibri" w:eastAsia="Calibri"/>
          <w:sz w:val="22"/>
        </w:rPr>
        <w:t xml:space="preserve">. En contrepartie, il lui est attribué </w:t>
      </w:r>
      <w:r>
        <w:rPr>
          <w:rFonts w:ascii="Calibri" w:hAnsi="Calibri" w:eastAsia="Calibri"/>
          <w:sz w:val="22"/>
          <w:highlight w:val="yellow"/>
        </w:rPr>
        <w:t>[nombre]</w:t>
      </w:r>
      <w:r>
        <w:rPr>
          <w:rFonts w:ascii="Calibri" w:hAnsi="Calibri" w:eastAsia="Calibri"/>
          <w:sz w:val="22"/>
        </w:rPr>
        <w:t xml:space="preserve"> parts en industrie, qui ne concourent pas à la formation du capital social mais ouvrent droit au partage des bénéfices et de l’actif net, à charge de contribuer aux pertes. </w:t>
      </w:r>
      <w:r>
        <w:rPr>
          <w:rFonts w:ascii="Calibri" w:hAnsi="Calibri" w:eastAsia="Calibri"/>
          <w:sz w:val="22"/>
          <w:highlight w:val="yellow"/>
        </w:rPr>
        <w:t>[Modalités : incessibilité, droit de vote, sort des parts lorsque l’apporteur cesse de fournir son industrie…]</w:t>
      </w:r>
    </w:p>
    <w:p>
      <w:pPr>
        <w:keepNext/>
        <w:spacing w:after="80" w:before="80"/>
      </w:pPr>
      <w:r>
        <w:rPr>
          <w:rFonts w:ascii="Calibri" w:hAnsi="Calibri" w:eastAsia="Calibri"/>
          <w:b/>
          <w:sz w:val="22"/>
        </w:rPr>
        <w:t>Déclarations relatives aux biens communs (article 1832-2 du code civil)</w:t>
      </w:r>
    </w:p>
    <w:p>
      <w:pPr>
        <w:spacing w:after="120" w:before="0"/>
        <w:jc w:val="both"/>
      </w:pPr>
      <w:r>
        <w:rPr>
          <w:rFonts w:ascii="Calibri" w:hAnsi="Calibri" w:eastAsia="Calibri"/>
          <w:sz w:val="22"/>
          <w:highlight w:val="yellow"/>
        </w:rPr>
        <w:t>[Prénom NOM]</w:t>
      </w:r>
      <w:r>
        <w:rPr>
          <w:rFonts w:ascii="Calibri" w:hAnsi="Calibri" w:eastAsia="Calibri"/>
          <w:sz w:val="22"/>
        </w:rPr>
        <w:t xml:space="preserve">, marié(e) sous un régime de communauté, déclare que les sommes </w:t>
      </w:r>
      <w:r>
        <w:rPr>
          <w:rFonts w:ascii="Calibri" w:hAnsi="Calibri" w:eastAsia="Calibri"/>
          <w:sz w:val="22"/>
          <w:highlight w:val="yellow"/>
        </w:rPr>
        <w:t>[et biens]</w:t>
      </w:r>
      <w:r>
        <w:rPr>
          <w:rFonts w:ascii="Calibri" w:hAnsi="Calibri" w:eastAsia="Calibri"/>
          <w:sz w:val="22"/>
        </w:rPr>
        <w:t xml:space="preserve"> apportés </w:t>
      </w:r>
      <w:r>
        <w:rPr>
          <w:rFonts w:ascii="Calibri" w:hAnsi="Calibri" w:eastAsia="Calibri"/>
          <w:sz w:val="22"/>
          <w:highlight w:val="yellow"/>
        </w:rPr>
        <w:t>[sont des biens propres / dépendent de la communauté]</w:t>
      </w:r>
      <w:r>
        <w:rPr>
          <w:rFonts w:ascii="Calibri" w:hAnsi="Calibri" w:eastAsia="Calibri"/>
          <w:sz w:val="22"/>
        </w:rPr>
        <w:t xml:space="preserve">. </w:t>
      </w:r>
      <w:r>
        <w:rPr>
          <w:rFonts w:ascii="Calibri" w:hAnsi="Calibri" w:eastAsia="Calibri"/>
          <w:sz w:val="22"/>
          <w:highlight w:val="yellow"/>
        </w:rPr>
        <w:t>[En cas de biens communs :]</w:t>
      </w:r>
      <w:r>
        <w:rPr>
          <w:rFonts w:ascii="Calibri" w:hAnsi="Calibri" w:eastAsia="Calibri"/>
          <w:sz w:val="22"/>
        </w:rPr>
        <w:t xml:space="preserve"> son conjoint, </w:t>
      </w:r>
      <w:r>
        <w:rPr>
          <w:rFonts w:ascii="Calibri" w:hAnsi="Calibri" w:eastAsia="Calibri"/>
          <w:sz w:val="22"/>
          <w:highlight w:val="yellow"/>
        </w:rPr>
        <w:t>[Prénom NOM]</w:t>
      </w:r>
      <w:r>
        <w:rPr>
          <w:rFonts w:ascii="Calibri" w:hAnsi="Calibri" w:eastAsia="Calibri"/>
          <w:sz w:val="22"/>
        </w:rPr>
        <w:t xml:space="preserve">, intervenant aux présentes, reconnaît avoir été averti de cet apport et déclare </w:t>
      </w:r>
      <w:r>
        <w:rPr>
          <w:rFonts w:ascii="Calibri" w:hAnsi="Calibri" w:eastAsia="Calibri"/>
          <w:sz w:val="22"/>
          <w:highlight w:val="yellow"/>
        </w:rPr>
        <w:t>[ne pas revendiquer, à ce jour, la qualité d’associé / notifier par les présentes son intention d’être personnellement associé pour la moitié des parts souscrites]</w:t>
      </w:r>
      <w:r>
        <w:rPr>
          <w:rFonts w:ascii="Calibri" w:hAnsi="Calibri" w:eastAsia="Calibri"/>
          <w:sz w:val="22"/>
        </w:rPr>
        <w:t>.</w:t>
      </w:r>
    </w:p>
    <w:p>
      <w:pPr>
        <w:keepNext/>
        <w:spacing w:after="80" w:before="80"/>
      </w:pPr>
      <w:r>
        <w:rPr>
          <w:rFonts w:ascii="Calibri" w:hAnsi="Calibri" w:eastAsia="Calibri"/>
          <w:b/>
          <w:sz w:val="22"/>
        </w:rPr>
        <w:t>Récapitulatif</w:t>
      </w:r>
    </w:p>
    <w:p>
      <w:pPr>
        <w:spacing w:after="120" w:before="0"/>
        <w:jc w:val="both"/>
      </w:pPr>
      <w:r>
        <w:rPr>
          <w:rFonts w:ascii="Calibri" w:hAnsi="Calibri" w:eastAsia="Calibri"/>
          <w:sz w:val="22"/>
        </w:rPr>
        <w:t xml:space="preserve">Apports en numéraire : </w:t>
      </w:r>
      <w:r>
        <w:rPr>
          <w:rFonts w:ascii="Calibri" w:hAnsi="Calibri" w:eastAsia="Calibri"/>
          <w:sz w:val="22"/>
          <w:highlight w:val="yellow"/>
        </w:rPr>
        <w:t>[montant]</w:t>
      </w:r>
      <w:r>
        <w:rPr>
          <w:rFonts w:ascii="Calibri" w:hAnsi="Calibri" w:eastAsia="Calibri"/>
          <w:sz w:val="22"/>
        </w:rPr>
        <w:t xml:space="preserve"> € — Apports en nature : </w:t>
      </w:r>
      <w:r>
        <w:rPr>
          <w:rFonts w:ascii="Calibri" w:hAnsi="Calibri" w:eastAsia="Calibri"/>
          <w:sz w:val="22"/>
          <w:highlight w:val="yellow"/>
        </w:rPr>
        <w:t>[montant]</w:t>
      </w:r>
      <w:r>
        <w:rPr>
          <w:rFonts w:ascii="Calibri" w:hAnsi="Calibri" w:eastAsia="Calibri"/>
          <w:sz w:val="22"/>
        </w:rPr>
        <w:t xml:space="preserve"> € — Total des apports formant le capital social : </w:t>
      </w:r>
      <w:r>
        <w:rPr>
          <w:rFonts w:ascii="Calibri" w:hAnsi="Calibri" w:eastAsia="Calibri"/>
          <w:sz w:val="22"/>
          <w:highlight w:val="yellow"/>
        </w:rPr>
        <w:t>[montant]</w:t>
      </w:r>
      <w:r>
        <w:rPr>
          <w:rFonts w:ascii="Calibri" w:hAnsi="Calibri" w:eastAsia="Calibri"/>
          <w:sz w:val="22"/>
        </w:rPr>
        <w:t xml:space="preserve"> €.</w:t>
      </w:r>
    </w:p>
    <w:p>
      <w:pPr>
        <w:keepNext/>
        <w:spacing w:after="80" w:before="120"/>
      </w:pPr>
      <w:r>
        <w:rPr>
          <w:rFonts w:ascii="Calibri" w:hAnsi="Calibri" w:eastAsia="Calibri"/>
          <w:b/>
          <w:sz w:val="22"/>
        </w:rPr>
        <w:t>Article 7 — Capital social — Répartition des parts</w:t>
      </w:r>
    </w:p>
    <w:p>
      <w:pPr>
        <w:spacing w:after="120" w:before="0"/>
        <w:jc w:val="both"/>
      </w:pPr>
      <w:r>
        <w:rPr>
          <w:rFonts w:ascii="Calibri" w:hAnsi="Calibri" w:eastAsia="Calibri"/>
          <w:sz w:val="22"/>
        </w:rPr>
        <w:t xml:space="preserve">Le capital social est fixé à la somme de </w:t>
      </w:r>
      <w:r>
        <w:rPr>
          <w:rFonts w:ascii="Calibri" w:hAnsi="Calibri" w:eastAsia="Calibri"/>
          <w:b/>
          <w:sz w:val="22"/>
          <w:highlight w:val="yellow"/>
        </w:rPr>
        <w:t>[montant en chiffres]</w:t>
      </w:r>
      <w:r>
        <w:rPr>
          <w:rFonts w:ascii="Calibri" w:hAnsi="Calibri" w:eastAsia="Calibri"/>
          <w:b/>
          <w:sz w:val="22"/>
        </w:rPr>
        <w:t xml:space="preserve"> €</w:t>
      </w:r>
      <w:r>
        <w:rPr>
          <w:rFonts w:ascii="Calibri" w:hAnsi="Calibri" w:eastAsia="Calibri"/>
          <w:sz w:val="22"/>
        </w:rPr>
        <w:t xml:space="preserve"> (</w:t>
      </w:r>
      <w:r>
        <w:rPr>
          <w:rFonts w:ascii="Calibri" w:hAnsi="Calibri" w:eastAsia="Calibri"/>
          <w:sz w:val="22"/>
          <w:highlight w:val="yellow"/>
        </w:rPr>
        <w:t>[montant en lettres]</w:t>
      </w:r>
      <w:r>
        <w:rPr>
          <w:rFonts w:ascii="Calibri" w:hAnsi="Calibri" w:eastAsia="Calibri"/>
          <w:sz w:val="22"/>
        </w:rPr>
        <w:t xml:space="preserve"> euros). Il est divisé en </w:t>
      </w:r>
      <w:r>
        <w:rPr>
          <w:rFonts w:ascii="Calibri" w:hAnsi="Calibri" w:eastAsia="Calibri"/>
          <w:sz w:val="22"/>
          <w:highlight w:val="yellow"/>
        </w:rPr>
        <w:t>[nombre]</w:t>
      </w:r>
      <w:r>
        <w:rPr>
          <w:rFonts w:ascii="Calibri" w:hAnsi="Calibri" w:eastAsia="Calibri"/>
          <w:sz w:val="22"/>
        </w:rPr>
        <w:t xml:space="preserve"> parts sociales égales de </w:t>
      </w:r>
      <w:r>
        <w:rPr>
          <w:rFonts w:ascii="Calibri" w:hAnsi="Calibri" w:eastAsia="Calibri"/>
          <w:sz w:val="22"/>
          <w:highlight w:val="yellow"/>
        </w:rPr>
        <w:t>[valeur nominale]</w:t>
      </w:r>
      <w:r>
        <w:rPr>
          <w:rFonts w:ascii="Calibri" w:hAnsi="Calibri" w:eastAsia="Calibri"/>
          <w:sz w:val="22"/>
        </w:rPr>
        <w:t xml:space="preserve"> € chacune, numérotées de 1 à </w:t>
      </w:r>
      <w:r>
        <w:rPr>
          <w:rFonts w:ascii="Calibri" w:hAnsi="Calibri" w:eastAsia="Calibri"/>
          <w:sz w:val="22"/>
          <w:highlight w:val="yellow"/>
        </w:rPr>
        <w:t>[nombre]</w:t>
      </w:r>
      <w:r>
        <w:rPr>
          <w:rFonts w:ascii="Calibri" w:hAnsi="Calibri" w:eastAsia="Calibri"/>
          <w:sz w:val="22"/>
        </w:rPr>
        <w:t>, attribuées aux associés en proportion de leurs apports et réparties comme suit :</w:t>
      </w:r>
    </w:p>
    <w:tbl>
      <w:tblPr>
        <w:tblStyle w:val="TableGrid"/>
        <w:tblW w:type="auto" w:w="0"/>
        <w:tblLayout w:type="fixed"/>
        <w:tblLook w:firstColumn="1" w:firstRow="1" w:lastColumn="0" w:lastRow="0" w:noHBand="0" w:noVBand="1" w:val="04A0"/>
      </w:tblPr>
      <w:tblGrid>
        <w:gridCol w:w="3628"/>
        <w:gridCol w:w="1927"/>
        <w:gridCol w:w="1700"/>
        <w:gridCol w:w="2040"/>
      </w:tblGrid>
      <w:tr>
        <w:tc>
          <w:tcPr>
            <w:tcW w:type="dxa" w:w="3628"/>
            <w:shd w:val="clear" w:color="auto" w:fill="E8EEF4"/>
          </w:tcPr>
          <w:p>
            <w:pPr>
              <w:spacing w:after="40" w:before="0"/>
            </w:pPr>
            <w:r>
              <w:rPr>
                <w:rFonts w:ascii="Calibri" w:hAnsi="Calibri" w:eastAsia="Calibri"/>
                <w:b/>
                <w:sz w:val="19"/>
              </w:rPr>
              <w:t>Associé</w:t>
            </w:r>
          </w:p>
        </w:tc>
        <w:tc>
          <w:tcPr>
            <w:tcW w:type="dxa" w:w="1928"/>
            <w:shd w:val="clear" w:color="auto" w:fill="E8EEF4"/>
          </w:tcPr>
          <w:p>
            <w:pPr>
              <w:spacing w:after="40" w:before="0"/>
            </w:pPr>
            <w:r>
              <w:rPr>
                <w:rFonts w:ascii="Calibri" w:hAnsi="Calibri" w:eastAsia="Calibri"/>
                <w:b/>
                <w:sz w:val="19"/>
              </w:rPr>
              <w:t>Numéros des parts</w:t>
            </w:r>
          </w:p>
        </w:tc>
        <w:tc>
          <w:tcPr>
            <w:tcW w:type="dxa" w:w="1701"/>
            <w:shd w:val="clear" w:color="auto" w:fill="E8EEF4"/>
          </w:tcPr>
          <w:p>
            <w:pPr>
              <w:spacing w:after="40" w:before="0"/>
            </w:pPr>
            <w:r>
              <w:rPr>
                <w:rFonts w:ascii="Calibri" w:hAnsi="Calibri" w:eastAsia="Calibri"/>
                <w:b/>
                <w:sz w:val="19"/>
              </w:rPr>
              <w:t>Nombre de parts</w:t>
            </w:r>
          </w:p>
        </w:tc>
        <w:tc>
          <w:tcPr>
            <w:tcW w:type="dxa" w:w="2041"/>
            <w:shd w:val="clear" w:color="auto" w:fill="E8EEF4"/>
          </w:tcPr>
          <w:p>
            <w:pPr>
              <w:spacing w:after="40" w:before="0"/>
            </w:pPr>
            <w:r>
              <w:rPr>
                <w:rFonts w:ascii="Calibri" w:hAnsi="Calibri" w:eastAsia="Calibri"/>
                <w:b/>
                <w:sz w:val="19"/>
              </w:rPr>
              <w:t>Montant nominal</w:t>
            </w:r>
          </w:p>
        </w:tc>
      </w:tr>
      <w:tr>
        <w:tc>
          <w:tcPr>
            <w:tcW w:type="dxa" w:w="3628"/>
          </w:tcPr>
          <w:p>
            <w:pPr>
              <w:spacing w:after="40" w:before="0"/>
            </w:pPr>
            <w:r>
              <w:rPr>
                <w:rFonts w:ascii="Calibri" w:hAnsi="Calibri" w:eastAsia="Calibri"/>
                <w:sz w:val="19"/>
                <w:highlight w:val="yellow"/>
              </w:rPr>
              <w:t>[Prénom NOM / dénomination]</w:t>
            </w:r>
          </w:p>
        </w:tc>
        <w:tc>
          <w:tcPr>
            <w:tcW w:type="dxa" w:w="1928"/>
          </w:tcPr>
          <w:p>
            <w:pPr>
              <w:spacing w:after="40" w:before="0"/>
            </w:pPr>
            <w:r>
              <w:rPr>
                <w:rFonts w:ascii="Calibri" w:hAnsi="Calibri" w:eastAsia="Calibri"/>
                <w:sz w:val="19"/>
                <w:highlight w:val="yellow"/>
              </w:rPr>
              <w:t>[1 à …]</w:t>
            </w:r>
          </w:p>
        </w:tc>
        <w:tc>
          <w:tcPr>
            <w:tcW w:type="dxa" w:w="1701"/>
          </w:tcPr>
          <w:p>
            <w:pPr>
              <w:spacing w:after="40" w:before="0"/>
            </w:pPr>
            <w:r>
              <w:rPr>
                <w:rFonts w:ascii="Calibri" w:hAnsi="Calibri" w:eastAsia="Calibri"/>
                <w:sz w:val="19"/>
                <w:highlight w:val="yellow"/>
              </w:rPr>
              <w:t>[…]</w:t>
            </w:r>
          </w:p>
        </w:tc>
        <w:tc>
          <w:tcPr>
            <w:tcW w:type="dxa" w:w="2041"/>
          </w:tcPr>
          <w:p>
            <w:pPr>
              <w:spacing w:after="40" w:before="0"/>
            </w:pPr>
            <w:r>
              <w:rPr>
                <w:rFonts w:ascii="Calibri" w:hAnsi="Calibri" w:eastAsia="Calibri"/>
                <w:sz w:val="19"/>
                <w:highlight w:val="yellow"/>
              </w:rPr>
              <w:t>[…]</w:t>
            </w:r>
            <w:r>
              <w:rPr>
                <w:rFonts w:ascii="Calibri" w:hAnsi="Calibri" w:eastAsia="Calibri"/>
                <w:sz w:val="19"/>
              </w:rPr>
              <w:t xml:space="preserve"> €</w:t>
            </w:r>
          </w:p>
        </w:tc>
      </w:tr>
      <w:tr>
        <w:tc>
          <w:tcPr>
            <w:tcW w:type="dxa" w:w="3628"/>
          </w:tcPr>
          <w:p>
            <w:pPr>
              <w:spacing w:after="40" w:before="0"/>
            </w:pPr>
            <w:r>
              <w:rPr>
                <w:rFonts w:ascii="Calibri" w:hAnsi="Calibri" w:eastAsia="Calibri"/>
                <w:sz w:val="19"/>
                <w:highlight w:val="yellow"/>
              </w:rPr>
              <w:t>[Prénom NOM / dénomination]</w:t>
            </w:r>
          </w:p>
        </w:tc>
        <w:tc>
          <w:tcPr>
            <w:tcW w:type="dxa" w:w="1928"/>
          </w:tcPr>
          <w:p>
            <w:pPr>
              <w:spacing w:after="40" w:before="0"/>
            </w:pPr>
            <w:r>
              <w:rPr>
                <w:rFonts w:ascii="Calibri" w:hAnsi="Calibri" w:eastAsia="Calibri"/>
                <w:sz w:val="19"/>
                <w:highlight w:val="yellow"/>
              </w:rPr>
              <w:t>[… à …]</w:t>
            </w:r>
          </w:p>
        </w:tc>
        <w:tc>
          <w:tcPr>
            <w:tcW w:type="dxa" w:w="1701"/>
          </w:tcPr>
          <w:p>
            <w:pPr>
              <w:spacing w:after="40" w:before="0"/>
            </w:pPr>
            <w:r>
              <w:rPr>
                <w:rFonts w:ascii="Calibri" w:hAnsi="Calibri" w:eastAsia="Calibri"/>
                <w:sz w:val="19"/>
                <w:highlight w:val="yellow"/>
              </w:rPr>
              <w:t>[…]</w:t>
            </w:r>
          </w:p>
        </w:tc>
        <w:tc>
          <w:tcPr>
            <w:tcW w:type="dxa" w:w="2041"/>
          </w:tcPr>
          <w:p>
            <w:pPr>
              <w:spacing w:after="40" w:before="0"/>
            </w:pPr>
            <w:r>
              <w:rPr>
                <w:rFonts w:ascii="Calibri" w:hAnsi="Calibri" w:eastAsia="Calibri"/>
                <w:sz w:val="19"/>
                <w:highlight w:val="yellow"/>
              </w:rPr>
              <w:t>[…]</w:t>
            </w:r>
            <w:r>
              <w:rPr>
                <w:rFonts w:ascii="Calibri" w:hAnsi="Calibri" w:eastAsia="Calibri"/>
                <w:sz w:val="19"/>
              </w:rPr>
              <w:t xml:space="preserve"> €</w:t>
            </w:r>
          </w:p>
        </w:tc>
      </w:tr>
      <w:tr>
        <w:tc>
          <w:tcPr>
            <w:tcW w:type="dxa" w:w="3628"/>
          </w:tcPr>
          <w:p>
            <w:pPr>
              <w:spacing w:after="40" w:before="0"/>
            </w:pPr>
            <w:r>
              <w:rPr>
                <w:rFonts w:ascii="Calibri" w:hAnsi="Calibri" w:eastAsia="Calibri"/>
                <w:b/>
                <w:sz w:val="19"/>
              </w:rPr>
              <w:t>Total</w:t>
            </w:r>
          </w:p>
        </w:tc>
        <w:tc>
          <w:tcPr>
            <w:tcW w:type="dxa" w:w="1928"/>
          </w:tcPr>
          <w:p>
            <w:pPr>
              <w:spacing w:after="40" w:before="0"/>
            </w:pPr>
            <w:r>
              <w:rPr>
                <w:rFonts w:ascii="Calibri" w:hAnsi="Calibri" w:eastAsia="Calibri"/>
                <w:sz w:val="19"/>
              </w:rPr>
              <w:t>—</w:t>
            </w:r>
          </w:p>
        </w:tc>
        <w:tc>
          <w:tcPr>
            <w:tcW w:type="dxa" w:w="1701"/>
          </w:tcPr>
          <w:p>
            <w:pPr>
              <w:spacing w:after="40" w:before="0"/>
            </w:pPr>
            <w:r>
              <w:rPr>
                <w:rFonts w:ascii="Calibri" w:hAnsi="Calibri" w:eastAsia="Calibri"/>
                <w:sz w:val="19"/>
                <w:highlight w:val="yellow"/>
              </w:rPr>
              <w:t>[…]</w:t>
            </w:r>
          </w:p>
        </w:tc>
        <w:tc>
          <w:tcPr>
            <w:tcW w:type="dxa" w:w="2041"/>
          </w:tcPr>
          <w:p>
            <w:pPr>
              <w:spacing w:after="40" w:before="0"/>
            </w:pPr>
            <w:r>
              <w:rPr>
                <w:rFonts w:ascii="Calibri" w:hAnsi="Calibri" w:eastAsia="Calibri"/>
                <w:sz w:val="19"/>
                <w:highlight w:val="yellow"/>
              </w:rPr>
              <w:t>[…]</w:t>
            </w:r>
            <w:r>
              <w:rPr>
                <w:rFonts w:ascii="Calibri" w:hAnsi="Calibri" w:eastAsia="Calibri"/>
                <w:sz w:val="19"/>
              </w:rPr>
              <w:t xml:space="preserve"> €</w:t>
            </w:r>
          </w:p>
        </w:tc>
      </w:tr>
    </w:tbl>
    <w:p>
      <w:pPr>
        <w:spacing w:after="160"/>
      </w:pPr>
    </w:p>
    <w:p>
      <w:pPr>
        <w:spacing w:after="120" w:before="0"/>
        <w:jc w:val="both"/>
      </w:pPr>
      <w:r>
        <w:rPr>
          <w:rFonts w:ascii="Calibri" w:hAnsi="Calibri" w:eastAsia="Calibri"/>
          <w:sz w:val="22"/>
        </w:rPr>
        <w:t xml:space="preserve">Les associés déclarent que ces parts sont réparties entre eux dans les proportions indiquées ci-dessus et qu’elles sont </w:t>
      </w:r>
      <w:r>
        <w:rPr>
          <w:rFonts w:ascii="Calibri" w:hAnsi="Calibri" w:eastAsia="Calibri"/>
          <w:sz w:val="22"/>
          <w:highlight w:val="yellow"/>
        </w:rPr>
        <w:t>[intégralement libérées / libérées dans les conditions indiquées à l’article 6]</w:t>
      </w:r>
      <w:r>
        <w:rPr>
          <w:rFonts w:ascii="Calibri" w:hAnsi="Calibri" w:eastAsia="Calibri"/>
          <w:sz w:val="22"/>
        </w:rPr>
        <w:t xml:space="preserve">. </w:t>
      </w:r>
      <w:r>
        <w:rPr>
          <w:rFonts w:ascii="Calibri" w:hAnsi="Calibri" w:eastAsia="Calibri"/>
          <w:sz w:val="22"/>
          <w:highlight w:val="yellow"/>
        </w:rPr>
        <w:t>[Le cas échéant : il a en outre été attribué … parts en industrie à …]</w:t>
      </w:r>
    </w:p>
    <w:p>
      <w:pPr>
        <w:keepNext/>
        <w:spacing w:after="80" w:before="120"/>
      </w:pPr>
      <w:r>
        <w:rPr>
          <w:rFonts w:ascii="Calibri" w:hAnsi="Calibri" w:eastAsia="Calibri"/>
          <w:b/>
          <w:sz w:val="22"/>
        </w:rPr>
        <w:t>Article 8 — Modification du capital</w:t>
      </w:r>
    </w:p>
    <w:p>
      <w:pPr>
        <w:spacing w:after="120" w:before="0"/>
        <w:jc w:val="both"/>
      </w:pPr>
      <w:r>
        <w:rPr>
          <w:rFonts w:ascii="Calibri" w:hAnsi="Calibri" w:eastAsia="Calibri"/>
          <w:sz w:val="22"/>
        </w:rPr>
        <w:t>Le capital social peut être augmenté ou réduit par décision des associés prise dans les conditions requises pour la modification des statuts, sous réserve des règles suivantes :</w:t>
      </w:r>
    </w:p>
    <w:p>
      <w:pPr>
        <w:spacing w:after="60" w:before="0"/>
        <w:jc w:val="both"/>
      </w:pPr>
      <w:r>
        <w:rPr>
          <w:rFonts w:ascii="Calibri" w:hAnsi="Calibri" w:eastAsia="Calibri"/>
          <w:sz w:val="22"/>
        </w:rPr>
        <w:t xml:space="preserve">– </w:t>
      </w:r>
      <w:r>
        <w:rPr>
          <w:rFonts w:ascii="Calibri" w:hAnsi="Calibri" w:eastAsia="Calibri"/>
          <w:sz w:val="22"/>
        </w:rPr>
        <w:t>l’augmentation du capital par incorporation de bénéfices ou de réserves est décidée par les associés représentant au moins la moitié des parts sociales ;</w:t>
      </w:r>
    </w:p>
    <w:p>
      <w:pPr>
        <w:spacing w:after="60" w:before="0"/>
        <w:jc w:val="both"/>
      </w:pPr>
      <w:r>
        <w:rPr>
          <w:rFonts w:ascii="Calibri" w:hAnsi="Calibri" w:eastAsia="Calibri"/>
          <w:sz w:val="22"/>
        </w:rPr>
        <w:t xml:space="preserve">– </w:t>
      </w:r>
      <w:r>
        <w:rPr>
          <w:rFonts w:ascii="Calibri" w:hAnsi="Calibri" w:eastAsia="Calibri"/>
          <w:sz w:val="22"/>
        </w:rPr>
        <w:t>le capital doit être intégralement libéré avant toute souscription de nouvelles parts à libérer en numéraire, à peine de nullité de l’opération ; les parts nouvelles souscrites en numéraire sont libérées d’un quart au moins lors de la souscription, le surplus dans le délai de cinq ans à compter du jour où l’augmentation est devenue définitive ;</w:t>
      </w:r>
    </w:p>
    <w:p>
      <w:pPr>
        <w:spacing w:after="60" w:before="0"/>
        <w:jc w:val="both"/>
      </w:pPr>
      <w:r>
        <w:rPr>
          <w:rFonts w:ascii="Calibri" w:hAnsi="Calibri" w:eastAsia="Calibri"/>
          <w:sz w:val="22"/>
        </w:rPr>
        <w:t xml:space="preserve">– </w:t>
      </w:r>
      <w:r>
        <w:rPr>
          <w:rFonts w:ascii="Calibri" w:hAnsi="Calibri" w:eastAsia="Calibri"/>
          <w:sz w:val="22"/>
        </w:rPr>
        <w:t>en cas d’apport en nature, le commissaire aux apports est désigné à l’unanimité des associés ou, à défaut, par décision de justice, sauf dispense dans les conditions prévues par la loi ;</w:t>
      </w:r>
    </w:p>
    <w:p>
      <w:pPr>
        <w:spacing w:after="60" w:before="0"/>
        <w:jc w:val="both"/>
      </w:pPr>
      <w:r>
        <w:rPr>
          <w:rFonts w:ascii="Calibri" w:hAnsi="Calibri" w:eastAsia="Calibri"/>
          <w:sz w:val="22"/>
        </w:rPr>
        <w:t xml:space="preserve">– </w:t>
      </w:r>
      <w:r>
        <w:rPr>
          <w:rFonts w:ascii="Calibri" w:hAnsi="Calibri" w:eastAsia="Calibri"/>
          <w:sz w:val="22"/>
        </w:rPr>
        <w:t>la réduction du capital ne peut en aucun cas porter atteinte à l’égalité des associés.</w:t>
      </w:r>
    </w:p>
    <w:p>
      <w:pPr>
        <w:spacing w:after="120" w:before="0"/>
        <w:jc w:val="both"/>
      </w:pPr>
      <w:r>
        <w:rPr>
          <w:rFonts w:ascii="Calibri" w:hAnsi="Calibri" w:eastAsia="Calibri"/>
          <w:b/>
          <w:sz w:val="22"/>
          <w:highlight w:val="yellow"/>
        </w:rPr>
        <w:t>[Option — droit de préférence]</w:t>
      </w:r>
      <w:r>
        <w:rPr>
          <w:rFonts w:ascii="Calibri" w:hAnsi="Calibri" w:eastAsia="Calibri"/>
          <w:sz w:val="22"/>
        </w:rPr>
        <w:t xml:space="preserve"> </w:t>
      </w:r>
      <w:r>
        <w:rPr>
          <w:rFonts w:ascii="Calibri" w:hAnsi="Calibri" w:eastAsia="Calibri"/>
          <w:sz w:val="22"/>
        </w:rPr>
        <w:t>En cas d’augmentation du capital en numéraire, les associés bénéficient d’un droit de préférence à la souscription des parts nouvelles, proportionnellement au nombre de parts qu’ils possèdent ; chacun peut y renoncer individuellement.</w:t>
      </w:r>
    </w:p>
    <w:p>
      <w:pPr>
        <w:keepNext/>
        <w:spacing w:after="80" w:before="120"/>
      </w:pPr>
      <w:r>
        <w:rPr>
          <w:rFonts w:ascii="Calibri" w:hAnsi="Calibri" w:eastAsia="Calibri"/>
          <w:b/>
          <w:sz w:val="22"/>
        </w:rPr>
        <w:t>Article 9 — Parts sociales — Droits et obligations</w:t>
      </w:r>
    </w:p>
    <w:p>
      <w:pPr>
        <w:spacing w:after="120" w:before="0"/>
        <w:jc w:val="both"/>
      </w:pPr>
      <w:r>
        <w:rPr>
          <w:rFonts w:ascii="Calibri" w:hAnsi="Calibri" w:eastAsia="Calibri"/>
          <w:sz w:val="22"/>
        </w:rPr>
        <w:t>Les parts sociales ne peuvent être représentées par des titres négociables. La propriété des parts résulte des présents statuts, des actes ultérieurs modifiant le capital et des cessions régulièrement consenties et rendues opposables.</w:t>
      </w:r>
    </w:p>
    <w:p>
      <w:pPr>
        <w:spacing w:after="120" w:before="0"/>
        <w:jc w:val="both"/>
      </w:pPr>
      <w:r>
        <w:rPr>
          <w:rFonts w:ascii="Calibri" w:hAnsi="Calibri" w:eastAsia="Calibri"/>
          <w:sz w:val="22"/>
        </w:rPr>
        <w:t>Chaque part donne droit, dans les bénéfices et dans l’actif social, à une part proportionnelle à la quotité du capital qu’elle représente, et à une voix dans les décisions collectives. Les associés ne supportent les pertes qu’à concurrence de leurs apports.</w:t>
      </w:r>
    </w:p>
    <w:p>
      <w:pPr>
        <w:spacing w:after="120" w:before="0"/>
        <w:jc w:val="both"/>
      </w:pPr>
      <w:r>
        <w:rPr>
          <w:rFonts w:ascii="Calibri" w:hAnsi="Calibri" w:eastAsia="Calibri"/>
          <w:sz w:val="22"/>
        </w:rPr>
        <w:t xml:space="preserve">Les copropriétaires indivis d’une part sont représentés par un mandataire unique, choisi parmi eux ou en dehors d’eux ; en cas de désaccord, le mandataire est désigné en justice à la demande du plus diligent. Si une part est grevée d’un usufruit, le nu-propriétaire et l’usufruitier ont le droit de participer aux décisions collectives ; le droit de vote appartient au nu-propriétaire, sauf pour les décisions concernant l’affectation des bénéfices, où il est réservé à l’usufruitier </w:t>
      </w:r>
      <w:r>
        <w:rPr>
          <w:rFonts w:ascii="Calibri" w:hAnsi="Calibri" w:eastAsia="Calibri"/>
          <w:sz w:val="22"/>
          <w:highlight w:val="yellow"/>
        </w:rPr>
        <w:t>[— variante statutaire : répartition différente du droit de vote, à préciser]</w:t>
      </w:r>
      <w:r>
        <w:rPr>
          <w:rFonts w:ascii="Calibri" w:hAnsi="Calibri" w:eastAsia="Calibri"/>
          <w:sz w:val="22"/>
        </w:rPr>
        <w:t>.</w:t>
      </w:r>
    </w:p>
    <w:p>
      <w:pPr>
        <w:keepNext/>
        <w:spacing w:after="80" w:before="120"/>
      </w:pPr>
      <w:r>
        <w:rPr>
          <w:rFonts w:ascii="Calibri" w:hAnsi="Calibri" w:eastAsia="Calibri"/>
          <w:b/>
          <w:sz w:val="22"/>
        </w:rPr>
        <w:t>Article 10 — Comptes courants d’associés</w:t>
      </w:r>
    </w:p>
    <w:p>
      <w:pPr>
        <w:spacing w:after="120" w:before="0"/>
        <w:jc w:val="both"/>
      </w:pPr>
      <w:r>
        <w:rPr>
          <w:rFonts w:ascii="Calibri" w:hAnsi="Calibri" w:eastAsia="Calibri"/>
          <w:sz w:val="22"/>
        </w:rPr>
        <w:t>Les associés peuvent, avec l’accord de la gérance, mettre à la disposition de la société les sommes dont celle-ci peut avoir besoin. Les conditions de rémunération et de remboursement de ces avances sont fixées par convention, soumise le cas échéant à la procédure prévue à l’article 14.</w:t>
      </w:r>
    </w:p>
    <w:p>
      <w:pPr>
        <w:spacing w:after="120" w:before="0"/>
        <w:jc w:val="both"/>
      </w:pPr>
      <w:r>
        <w:rPr>
          <w:rFonts w:ascii="Calibri" w:hAnsi="Calibri" w:eastAsia="Calibri"/>
          <w:sz w:val="22"/>
        </w:rPr>
        <w:t>À peine de nullité du contrat, il est interdit aux gérants et aux associés, autres que les personnes morales, ainsi qu’aux représentants légaux des personnes morales associées, de contracter sous quelque forme que ce soit des emprunts auprès de la société, de se faire consentir par elle un découvert, en compte courant ou autrement, ainsi que de faire cautionner ou avaliser par elle leurs engagements envers les tiers. Cette interdiction s’applique aussi à leurs conjoint, ascendants et descendants et à toute personne interposée (C. com., art. L. 223-21).</w:t>
      </w:r>
    </w:p>
    <w:p>
      <w:pPr>
        <w:keepNext/>
        <w:spacing w:after="160" w:before="240"/>
        <w:jc w:val="center"/>
      </w:pPr>
      <w:r>
        <w:rPr>
          <w:rFonts w:ascii="Calibri" w:hAnsi="Calibri" w:eastAsia="Calibri"/>
          <w:b/>
          <w:sz w:val="23"/>
        </w:rPr>
        <w:t>TITRE III — CESSION ET TRANSMISSION DES PARTS SOCIALES</w:t>
      </w:r>
    </w:p>
    <w:p>
      <w:pPr>
        <w:keepNext/>
        <w:spacing w:after="80" w:before="120"/>
      </w:pPr>
      <w:r>
        <w:rPr>
          <w:rFonts w:ascii="Calibri" w:hAnsi="Calibri" w:eastAsia="Calibri"/>
          <w:b/>
          <w:sz w:val="22"/>
        </w:rPr>
        <w:t>Article 11 — Cession et transmission des parts</w:t>
      </w:r>
    </w:p>
    <w:p>
      <w:pPr>
        <w:keepNext/>
        <w:spacing w:after="80" w:before="80"/>
      </w:pPr>
      <w:r>
        <w:rPr>
          <w:rFonts w:ascii="Calibri" w:hAnsi="Calibri" w:eastAsia="Calibri"/>
          <w:b/>
          <w:sz w:val="22"/>
        </w:rPr>
        <w:t>Forme et opposabilité</w:t>
      </w:r>
    </w:p>
    <w:p>
      <w:pPr>
        <w:spacing w:after="120" w:before="0"/>
        <w:jc w:val="both"/>
      </w:pPr>
      <w:r>
        <w:rPr>
          <w:rFonts w:ascii="Calibri" w:hAnsi="Calibri" w:eastAsia="Calibri"/>
          <w:sz w:val="22"/>
        </w:rPr>
        <w:t>Toute cession de parts sociales est constatée par écrit. Elle est rendue opposable à la société par sa signification par commissaire de justice ou par le dépôt d’un original de l’acte de cession au siège social contre remise par le gérant d’une attestation de ce dépôt. Elle n’est opposable aux tiers qu’après l’accomplissement de ces formalités et, en outre, après publication des statuts modifiés au registre du commerce et des sociétés.</w:t>
      </w:r>
    </w:p>
    <w:p>
      <w:pPr>
        <w:keepNext/>
        <w:spacing w:after="80" w:before="80"/>
      </w:pPr>
      <w:r>
        <w:rPr>
          <w:rFonts w:ascii="Calibri" w:hAnsi="Calibri" w:eastAsia="Calibri"/>
          <w:b/>
          <w:sz w:val="22"/>
        </w:rPr>
        <w:t>Cessions entre associés</w:t>
      </w:r>
    </w:p>
    <w:p>
      <w:pPr>
        <w:spacing w:after="60" w:before="0"/>
        <w:jc w:val="both"/>
      </w:pPr>
      <w:r>
        <w:rPr>
          <w:rFonts w:ascii="Calibri" w:hAnsi="Calibri" w:eastAsia="Calibri"/>
          <w:sz w:val="22"/>
        </w:rPr>
        <w:t xml:space="preserve">☐ </w:t>
      </w:r>
      <w:r>
        <w:rPr>
          <w:rFonts w:ascii="Calibri" w:hAnsi="Calibri" w:eastAsia="Calibri"/>
          <w:b/>
          <w:sz w:val="22"/>
          <w:highlight w:val="yellow"/>
        </w:rPr>
        <w:t>[Variante A]</w:t>
      </w:r>
      <w:r>
        <w:rPr>
          <w:rFonts w:ascii="Calibri" w:hAnsi="Calibri" w:eastAsia="Calibri"/>
          <w:sz w:val="22"/>
        </w:rPr>
        <w:t xml:space="preserve"> Les parts sont librement cessibles entre associés.</w:t>
      </w:r>
    </w:p>
    <w:p>
      <w:pPr>
        <w:spacing w:after="60" w:before="0"/>
        <w:jc w:val="both"/>
      </w:pPr>
      <w:r>
        <w:rPr>
          <w:rFonts w:ascii="Calibri" w:hAnsi="Calibri" w:eastAsia="Calibri"/>
          <w:sz w:val="22"/>
        </w:rPr>
        <w:t xml:space="preserve">☐ </w:t>
      </w:r>
      <w:r>
        <w:rPr>
          <w:rFonts w:ascii="Calibri" w:hAnsi="Calibri" w:eastAsia="Calibri"/>
          <w:b/>
          <w:sz w:val="22"/>
          <w:highlight w:val="yellow"/>
        </w:rPr>
        <w:t>[Variante B]</w:t>
      </w:r>
      <w:r>
        <w:rPr>
          <w:rFonts w:ascii="Calibri" w:hAnsi="Calibri" w:eastAsia="Calibri"/>
          <w:sz w:val="22"/>
        </w:rPr>
        <w:t xml:space="preserve"> Les cessions entre associés sont soumises à l’agrément prévu ci-après pour les cessions à des tiers</w:t>
      </w:r>
      <w:r>
        <w:rPr>
          <w:rFonts w:ascii="Calibri" w:hAnsi="Calibri" w:eastAsia="Calibri"/>
          <w:sz w:val="22"/>
          <w:highlight w:val="yellow"/>
        </w:rPr>
        <w:t>[, le cas échéant à la majorité de …, au plus égale à celle prévue par l’article L. 223-14 du code de commerce, et dans un délai de …, au plus égal à ceux prévus par cet article]</w:t>
      </w:r>
      <w:r>
        <w:rPr>
          <w:rFonts w:ascii="Calibri" w:hAnsi="Calibri" w:eastAsia="Calibri"/>
          <w:sz w:val="22"/>
        </w:rPr>
        <w:t>.</w:t>
      </w:r>
    </w:p>
    <w:p>
      <w:pPr>
        <w:keepNext/>
        <w:spacing w:after="80" w:before="80"/>
      </w:pPr>
      <w:r>
        <w:rPr>
          <w:rFonts w:ascii="Calibri" w:hAnsi="Calibri" w:eastAsia="Calibri"/>
          <w:b/>
          <w:sz w:val="22"/>
        </w:rPr>
        <w:t>Cessions au conjoint, aux ascendants et descendants — Transmission par décès</w:t>
      </w:r>
    </w:p>
    <w:p>
      <w:pPr>
        <w:spacing w:after="60" w:before="0"/>
        <w:jc w:val="both"/>
      </w:pPr>
      <w:r>
        <w:rPr>
          <w:rFonts w:ascii="Calibri" w:hAnsi="Calibri" w:eastAsia="Calibri"/>
          <w:sz w:val="22"/>
        </w:rPr>
        <w:t xml:space="preserve">☐ </w:t>
      </w:r>
      <w:r>
        <w:rPr>
          <w:rFonts w:ascii="Calibri" w:hAnsi="Calibri" w:eastAsia="Calibri"/>
          <w:b/>
          <w:sz w:val="22"/>
          <w:highlight w:val="yellow"/>
        </w:rPr>
        <w:t>[Variante A]</w:t>
      </w:r>
      <w:r>
        <w:rPr>
          <w:rFonts w:ascii="Calibri" w:hAnsi="Calibri" w:eastAsia="Calibri"/>
          <w:sz w:val="22"/>
        </w:rPr>
        <w:t xml:space="preserve"> Les parts sont librement transmissibles par voie de succession ou en cas de liquidation de communauté de biens entre époux, et librement cessibles entre conjoints et entre ascendants et descendants.</w:t>
      </w:r>
    </w:p>
    <w:p>
      <w:pPr>
        <w:spacing w:after="60" w:before="0"/>
        <w:jc w:val="both"/>
      </w:pPr>
      <w:r>
        <w:rPr>
          <w:rFonts w:ascii="Calibri" w:hAnsi="Calibri" w:eastAsia="Calibri"/>
          <w:sz w:val="22"/>
        </w:rPr>
        <w:t xml:space="preserve">☐ </w:t>
      </w:r>
      <w:r>
        <w:rPr>
          <w:rFonts w:ascii="Calibri" w:hAnsi="Calibri" w:eastAsia="Calibri"/>
          <w:b/>
          <w:sz w:val="22"/>
          <w:highlight w:val="yellow"/>
        </w:rPr>
        <w:t>[Variante B]</w:t>
      </w:r>
      <w:r>
        <w:rPr>
          <w:rFonts w:ascii="Calibri" w:hAnsi="Calibri" w:eastAsia="Calibri"/>
          <w:sz w:val="22"/>
        </w:rPr>
        <w:t xml:space="preserve"> Le conjoint, un héritier, un ascendant ou un descendant ne peut devenir associé qu’après avoir été agréé dans les conditions prévues ci-après pour les cessions à des tiers, sans que les délais ou la majorité puissent être plus rigoureux que ceux de l’article L. 223-14 du code de commerce ; à défaut de solution dans les délais impartis, l’agrément est réputé acquis.</w:t>
      </w:r>
    </w:p>
    <w:p>
      <w:pPr>
        <w:keepNext/>
        <w:spacing w:after="80" w:before="80"/>
      </w:pPr>
      <w:r>
        <w:rPr>
          <w:rFonts w:ascii="Calibri" w:hAnsi="Calibri" w:eastAsia="Calibri"/>
          <w:b/>
          <w:sz w:val="22"/>
        </w:rPr>
        <w:t>Cessions à des tiers — Agrément</w:t>
      </w:r>
    </w:p>
    <w:p>
      <w:pPr>
        <w:spacing w:after="120" w:before="0"/>
        <w:jc w:val="both"/>
      </w:pPr>
      <w:r>
        <w:rPr>
          <w:rFonts w:ascii="Calibri" w:hAnsi="Calibri" w:eastAsia="Calibri"/>
          <w:sz w:val="22"/>
        </w:rPr>
        <w:t xml:space="preserve">Les parts sociales ne peuvent être cédées à des tiers étrangers à la société qu’avec le consentement de la majorité des associés représentant au moins </w:t>
      </w:r>
      <w:r>
        <w:rPr>
          <w:rFonts w:ascii="Calibri" w:hAnsi="Calibri" w:eastAsia="Calibri"/>
          <w:sz w:val="22"/>
          <w:highlight w:val="yellow"/>
        </w:rPr>
        <w:t>[la moitié / les trois quarts]</w:t>
      </w:r>
      <w:r>
        <w:rPr>
          <w:rFonts w:ascii="Calibri" w:hAnsi="Calibri" w:eastAsia="Calibri"/>
          <w:sz w:val="22"/>
        </w:rPr>
        <w:t xml:space="preserve"> des parts sociales.</w:t>
      </w:r>
    </w:p>
    <w:p>
      <w:pPr>
        <w:spacing w:after="120" w:before="0"/>
        <w:jc w:val="both"/>
      </w:pPr>
      <w:r>
        <w:rPr>
          <w:rFonts w:ascii="Calibri" w:hAnsi="Calibri" w:eastAsia="Calibri"/>
          <w:sz w:val="22"/>
        </w:rPr>
        <w:t xml:space="preserve">Le projet de cession est notifié à la société et à chacun des associés par acte de commissaire de justice ou par lettre recommandée avec demande d’avis de réception. Dans les huit jours de la notification faite à la société, </w:t>
      </w:r>
      <w:r>
        <w:rPr>
          <w:rFonts w:ascii="Calibri" w:hAnsi="Calibri" w:eastAsia="Calibri"/>
          <w:sz w:val="22"/>
        </w:rPr>
        <w:t>la gérance</w:t>
      </w:r>
      <w:r>
        <w:rPr>
          <w:rFonts w:ascii="Calibri" w:hAnsi="Calibri" w:eastAsia="Calibri"/>
          <w:sz w:val="22"/>
        </w:rPr>
        <w:t xml:space="preserve"> convoque l’assemblée des associés pour qu’elle délibère sur le projet </w:t>
      </w:r>
      <w:r>
        <w:rPr>
          <w:rFonts w:ascii="Calibri" w:hAnsi="Calibri" w:eastAsia="Calibri"/>
          <w:sz w:val="22"/>
          <w:highlight w:val="yellow"/>
        </w:rPr>
        <w:t>[ou consulte les associés par écrit]</w:t>
      </w:r>
      <w:r>
        <w:rPr>
          <w:rFonts w:ascii="Calibri" w:hAnsi="Calibri" w:eastAsia="Calibri"/>
          <w:sz w:val="22"/>
        </w:rPr>
        <w:t>. La décision est notifiée au cédant par lettre recommandée avec demande d’avis de réception. Si la société n’a pas fait connaître sa décision dans le délai de trois mois à compter de la dernière des notifications, le consentement à la cession est réputé acquis.</w:t>
      </w:r>
    </w:p>
    <w:p>
      <w:pPr>
        <w:spacing w:after="120" w:before="0"/>
        <w:jc w:val="both"/>
      </w:pPr>
      <w:r>
        <w:rPr>
          <w:rFonts w:ascii="Calibri" w:hAnsi="Calibri" w:eastAsia="Calibri"/>
          <w:sz w:val="22"/>
        </w:rPr>
        <w:t>Si la société refuse de consentir à la cession, les associés sont tenus, dans le délai de trois mois à compter de ce refus, d’acquérir ou de faire acquérir les parts à un prix fixé dans les conditions prévues à l’article 1843-4 du code civil, sauf si le cédant renonce à la cession ; les frais de détermination du prix sont à la charge de la société. À la demande du gérant, ce délai peut être prolongé par décision de justice, sans que cette prolongation puisse excéder six mois. La société peut également, avec le consentement du cédant, décider dans le même délai de réduire son capital du montant de la valeur nominale des parts de cet associé et de racheter ces parts au prix déterminé dans les mêmes conditions.</w:t>
      </w:r>
    </w:p>
    <w:p>
      <w:pPr>
        <w:spacing w:after="120" w:before="0"/>
        <w:jc w:val="both"/>
      </w:pPr>
      <w:r>
        <w:rPr>
          <w:rFonts w:ascii="Calibri" w:hAnsi="Calibri" w:eastAsia="Calibri"/>
          <w:sz w:val="22"/>
        </w:rPr>
        <w:t>Si, à l’expiration du délai imparti, aucune de ces solutions n’est intervenue, l’associé peut réaliser la cession initialement prévue. Toutefois, sauf en cas de succession, de liquidation de communauté de biens entre époux ou de donation au profit d’un conjoint, d’un ascendant ou d’un descendant, l’associé qui détient ses parts depuis moins de deux ans ne peut se prévaloir de l’obligation de rachat ni de la faculté de céder à défaut de solution.</w:t>
      </w:r>
    </w:p>
    <w:p>
      <w:pPr>
        <w:keepNext/>
        <w:spacing w:after="80" w:before="80"/>
      </w:pPr>
      <w:r>
        <w:rPr>
          <w:rFonts w:ascii="Calibri" w:hAnsi="Calibri" w:eastAsia="Calibri"/>
          <w:b/>
          <w:sz w:val="22"/>
        </w:rPr>
        <w:t>Nantissement</w:t>
      </w:r>
    </w:p>
    <w:p>
      <w:pPr>
        <w:spacing w:after="120" w:before="0"/>
        <w:jc w:val="both"/>
      </w:pPr>
      <w:r>
        <w:rPr>
          <w:rFonts w:ascii="Calibri" w:hAnsi="Calibri" w:eastAsia="Calibri"/>
          <w:sz w:val="22"/>
        </w:rPr>
        <w:t>Le consentement donné par la société à un projet de nantissement de parts, dans les conditions prévues pour l’agrément des cessions à des tiers, emporte agrément du cessionnaire en cas de réalisation forcée des parts nanties, à moins que la société ne préfère, après la cession, racheter sans délai les parts en vue de réduire son capital.</w:t>
      </w:r>
    </w:p>
    <w:p>
      <w:pPr>
        <w:keepNext/>
        <w:spacing w:after="80" w:before="120"/>
      </w:pPr>
      <w:r>
        <w:rPr>
          <w:rFonts w:ascii="Calibri" w:hAnsi="Calibri" w:eastAsia="Calibri"/>
          <w:b/>
          <w:sz w:val="22"/>
        </w:rPr>
        <w:t>Article 12 — Décès — Incapacité d’un associé</w:t>
      </w:r>
    </w:p>
    <w:p>
      <w:pPr>
        <w:spacing w:after="120" w:before="0"/>
        <w:jc w:val="both"/>
      </w:pPr>
      <w:r>
        <w:rPr>
          <w:rFonts w:ascii="Calibri" w:hAnsi="Calibri" w:eastAsia="Calibri"/>
          <w:sz w:val="22"/>
        </w:rPr>
        <w:t>La société n’est pas dissoute par le décès d’un associé, ni lorsqu’un jugement de liquidation judiciaire, la faillite personnelle, l’interdiction de gérer ou une mesure d’incapacité est prononcé à l’égard de l’un d’eux.</w:t>
      </w:r>
    </w:p>
    <w:p>
      <w:pPr>
        <w:spacing w:after="120" w:before="0"/>
        <w:jc w:val="both"/>
      </w:pPr>
      <w:r>
        <w:rPr>
          <w:rFonts w:ascii="Calibri" w:hAnsi="Calibri" w:eastAsia="Calibri"/>
          <w:i/>
          <w:color w:val="4B5563"/>
          <w:sz w:val="22"/>
        </w:rPr>
        <w:t>Retenez une variante cohérente avec celle choisie à l’article 11 pour la transmission par décès : si les parts y sont déclarées librement transmissibles par voie de succession, seule la variante A ci-dessous, sans agrément, est compatible.</w:t>
      </w:r>
    </w:p>
    <w:p>
      <w:pPr>
        <w:spacing w:after="60" w:before="0"/>
        <w:jc w:val="both"/>
      </w:pPr>
      <w:r>
        <w:rPr>
          <w:rFonts w:ascii="Calibri" w:hAnsi="Calibri" w:eastAsia="Calibri"/>
          <w:sz w:val="22"/>
        </w:rPr>
        <w:t xml:space="preserve">☐ </w:t>
      </w:r>
      <w:r>
        <w:rPr>
          <w:rFonts w:ascii="Calibri" w:hAnsi="Calibri" w:eastAsia="Calibri"/>
          <w:b/>
          <w:sz w:val="22"/>
          <w:highlight w:val="yellow"/>
        </w:rPr>
        <w:t>[Variante A]</w:t>
      </w:r>
      <w:r>
        <w:rPr>
          <w:rFonts w:ascii="Calibri" w:hAnsi="Calibri" w:eastAsia="Calibri"/>
          <w:sz w:val="22"/>
        </w:rPr>
        <w:t xml:space="preserve"> En cas de décès d’un associé, la société continue avec ses héritiers et ayants droit, </w:t>
      </w:r>
      <w:r>
        <w:rPr>
          <w:rFonts w:ascii="Calibri" w:hAnsi="Calibri" w:eastAsia="Calibri"/>
          <w:sz w:val="22"/>
          <w:highlight w:val="yellow"/>
        </w:rPr>
        <w:t>[librement / sous réserve de leur agrément dans les conditions de l’article 11 ; l’héritier dont l’agrément a été refusé a droit à la valeur des droits sociaux de son auteur, déterminée au jour du décès conformément à l’article 1843-4 du code civil]</w:t>
      </w:r>
      <w:r>
        <w:rPr>
          <w:rFonts w:ascii="Calibri" w:hAnsi="Calibri" w:eastAsia="Calibri"/>
          <w:sz w:val="22"/>
        </w:rPr>
        <w:t>.</w:t>
      </w:r>
    </w:p>
    <w:p>
      <w:pPr>
        <w:spacing w:after="60" w:before="0"/>
        <w:jc w:val="both"/>
      </w:pPr>
      <w:r>
        <w:rPr>
          <w:rFonts w:ascii="Calibri" w:hAnsi="Calibri" w:eastAsia="Calibri"/>
          <w:sz w:val="22"/>
        </w:rPr>
        <w:t xml:space="preserve">☐ </w:t>
      </w:r>
      <w:r>
        <w:rPr>
          <w:rFonts w:ascii="Calibri" w:hAnsi="Calibri" w:eastAsia="Calibri"/>
          <w:b/>
          <w:sz w:val="22"/>
          <w:highlight w:val="yellow"/>
        </w:rPr>
        <w:t>[Variante B]</w:t>
      </w:r>
      <w:r>
        <w:rPr>
          <w:rFonts w:ascii="Calibri" w:hAnsi="Calibri" w:eastAsia="Calibri"/>
          <w:sz w:val="22"/>
        </w:rPr>
        <w:t xml:space="preserve"> En cas de décès d’un associé, la société continue avec les seuls associés survivants ; les héritiers ont droit à la valeur des droits sociaux de leur auteur, déterminée au jour du décès dans les conditions prévues à l’article 1843-4 du code civil.</w:t>
      </w:r>
    </w:p>
    <w:p>
      <w:pPr>
        <w:spacing w:after="60" w:before="0"/>
        <w:jc w:val="both"/>
      </w:pPr>
      <w:r>
        <w:rPr>
          <w:rFonts w:ascii="Calibri" w:hAnsi="Calibri" w:eastAsia="Calibri"/>
          <w:sz w:val="22"/>
        </w:rPr>
        <w:t xml:space="preserve">☐ </w:t>
      </w:r>
      <w:r>
        <w:rPr>
          <w:rFonts w:ascii="Calibri" w:hAnsi="Calibri" w:eastAsia="Calibri"/>
          <w:b/>
          <w:sz w:val="22"/>
          <w:highlight w:val="yellow"/>
        </w:rPr>
        <w:t>[Variante C]</w:t>
      </w:r>
      <w:r>
        <w:rPr>
          <w:rFonts w:ascii="Calibri" w:hAnsi="Calibri" w:eastAsia="Calibri"/>
          <w:sz w:val="22"/>
        </w:rPr>
        <w:t xml:space="preserve"> En cas de décès d’un associé, la société continue avec </w:t>
      </w:r>
      <w:r>
        <w:rPr>
          <w:rFonts w:ascii="Calibri" w:hAnsi="Calibri" w:eastAsia="Calibri"/>
          <w:sz w:val="22"/>
          <w:highlight w:val="yellow"/>
        </w:rPr>
        <w:t>[le conjoint survivant / un ou plusieurs des héritiers, à savoir : … / la personne suivante, désignée par les présents statuts : … / la personne désignée par dispositions testamentaires de l’associé décédé, ce que les présents statuts autorisent]</w:t>
      </w:r>
      <w:r>
        <w:rPr>
          <w:rFonts w:ascii="Calibri" w:hAnsi="Calibri" w:eastAsia="Calibri"/>
          <w:sz w:val="22"/>
        </w:rPr>
        <w:t xml:space="preserve">. La valeur des droits sociaux de l’associé décédé est déterminée au jour du décès conformément à l’article 1843-4 du code civil ; </w:t>
      </w:r>
      <w:r>
        <w:rPr>
          <w:rFonts w:ascii="Calibri" w:hAnsi="Calibri" w:eastAsia="Calibri"/>
          <w:sz w:val="22"/>
          <w:highlight w:val="yellow"/>
        </w:rPr>
        <w:t>[modalités de règlement de cette valeur aux héritiers et ayants droit qui ne deviennent pas associés : …]</w:t>
      </w:r>
      <w:r>
        <w:rPr>
          <w:rFonts w:ascii="Calibri" w:hAnsi="Calibri" w:eastAsia="Calibri"/>
          <w:sz w:val="22"/>
        </w:rPr>
        <w:t>.</w:t>
      </w:r>
    </w:p>
    <w:p>
      <w:pPr>
        <w:keepNext/>
        <w:spacing w:after="160" w:before="240"/>
        <w:jc w:val="center"/>
      </w:pPr>
      <w:r>
        <w:rPr>
          <w:rFonts w:ascii="Calibri" w:hAnsi="Calibri" w:eastAsia="Calibri"/>
          <w:b/>
          <w:sz w:val="23"/>
        </w:rPr>
        <w:t>TITRE IV — GÉRANCE</w:t>
      </w:r>
    </w:p>
    <w:p>
      <w:pPr>
        <w:keepNext/>
        <w:spacing w:after="80" w:before="120"/>
      </w:pPr>
      <w:r>
        <w:rPr>
          <w:rFonts w:ascii="Calibri" w:hAnsi="Calibri" w:eastAsia="Calibri"/>
          <w:b/>
          <w:sz w:val="22"/>
        </w:rPr>
        <w:t>Article 13 — Gérance</w:t>
      </w:r>
    </w:p>
    <w:p>
      <w:pPr>
        <w:keepNext/>
        <w:spacing w:after="80" w:before="80"/>
      </w:pPr>
      <w:r>
        <w:rPr>
          <w:rFonts w:ascii="Calibri" w:hAnsi="Calibri" w:eastAsia="Calibri"/>
          <w:b/>
          <w:sz w:val="22"/>
        </w:rPr>
        <w:t>Nomination</w:t>
      </w:r>
    </w:p>
    <w:p>
      <w:pPr>
        <w:spacing w:after="120" w:before="0"/>
        <w:jc w:val="both"/>
      </w:pPr>
      <w:r>
        <w:rPr>
          <w:rFonts w:ascii="Calibri" w:hAnsi="Calibri" w:eastAsia="Calibri"/>
          <w:sz w:val="22"/>
        </w:rPr>
        <w:t xml:space="preserve">La société est gérée par une ou plusieurs personnes physiques, associées ou non, nommées par les associés, dans les statuts ou par un acte postérieur, par décision prise dans les conditions prévues à l’article 17 pour les décisions ordinaires, pour une durée </w:t>
      </w:r>
      <w:r>
        <w:rPr>
          <w:rFonts w:ascii="Calibri" w:hAnsi="Calibri" w:eastAsia="Calibri"/>
          <w:sz w:val="22"/>
          <w:highlight w:val="yellow"/>
        </w:rPr>
        <w:t>[indéterminée / de … années]</w:t>
      </w:r>
      <w:r>
        <w:rPr>
          <w:rFonts w:ascii="Calibri" w:hAnsi="Calibri" w:eastAsia="Calibri"/>
          <w:sz w:val="22"/>
        </w:rPr>
        <w:t>. À défaut de précision, les gérants sont nommés pour la durée de la société.</w:t>
      </w:r>
    </w:p>
    <w:p>
      <w:pPr>
        <w:keepNext/>
        <w:spacing w:after="80" w:before="80"/>
      </w:pPr>
      <w:r>
        <w:rPr>
          <w:rFonts w:ascii="Calibri" w:hAnsi="Calibri" w:eastAsia="Calibri"/>
          <w:b/>
          <w:sz w:val="22"/>
        </w:rPr>
        <w:t>Pouvoirs</w:t>
      </w:r>
    </w:p>
    <w:p>
      <w:pPr>
        <w:spacing w:after="120" w:before="0"/>
        <w:jc w:val="both"/>
      </w:pPr>
      <w:r>
        <w:rPr>
          <w:rFonts w:ascii="Calibri" w:hAnsi="Calibri" w:eastAsia="Calibri"/>
          <w:sz w:val="22"/>
        </w:rPr>
        <w:t>Dans les rapports avec les tiers, le gérant est investi des pouvoirs les plus étendus pour agir en toute circonstance au nom de la société, sous réserve des pouvoirs que la loi attribue expressément aux associés. La société est engagée même par les actes du gérant qui ne relèvent pas de l’objet social, à moins qu’elle ne prouve que le tiers savait que l’acte dépassait cet objet ou ne pouvait l’ignorer compte tenu des circonstances, la seule publication des statuts ne suffisant pas à constituer cette preuve.</w:t>
      </w:r>
    </w:p>
    <w:p>
      <w:pPr>
        <w:spacing w:after="120" w:before="0"/>
        <w:jc w:val="both"/>
      </w:pPr>
      <w:r>
        <w:rPr>
          <w:rFonts w:ascii="Calibri" w:hAnsi="Calibri" w:eastAsia="Calibri"/>
          <w:sz w:val="22"/>
        </w:rPr>
        <w:t>En cas de pluralité de gérants, ceux-ci détiennent séparément ces pouvoirs ; l’opposition formée par un gérant aux actes d’un autre gérant est sans effet à l’égard des tiers, à moins qu’il ne soit établi qu’ils en ont eu connaissance.</w:t>
      </w:r>
    </w:p>
    <w:p>
      <w:pPr>
        <w:spacing w:after="120" w:before="0"/>
        <w:jc w:val="both"/>
      </w:pPr>
      <w:r>
        <w:rPr>
          <w:rFonts w:ascii="Calibri" w:hAnsi="Calibri" w:eastAsia="Calibri"/>
          <w:b/>
          <w:sz w:val="22"/>
          <w:highlight w:val="yellow"/>
        </w:rPr>
        <w:t>[Option — limitations internes]</w:t>
      </w:r>
      <w:r>
        <w:rPr>
          <w:rFonts w:ascii="Calibri" w:hAnsi="Calibri" w:eastAsia="Calibri"/>
          <w:sz w:val="22"/>
        </w:rPr>
        <w:t xml:space="preserve"> </w:t>
      </w:r>
      <w:r>
        <w:rPr>
          <w:rFonts w:ascii="Calibri" w:hAnsi="Calibri" w:eastAsia="Calibri"/>
          <w:sz w:val="22"/>
        </w:rPr>
        <w:t xml:space="preserve">Dans les rapports entre associés, et à titre de mesure d’ordre interne inopposable aux tiers, le gérant ne peut, sans l’autorisation préalable des associés statuant à la majorité de </w:t>
      </w:r>
      <w:r>
        <w:rPr>
          <w:rFonts w:ascii="Calibri" w:hAnsi="Calibri" w:eastAsia="Calibri"/>
          <w:sz w:val="22"/>
          <w:highlight w:val="yellow"/>
        </w:rPr>
        <w:t>[…]</w:t>
      </w:r>
      <w:r>
        <w:rPr>
          <w:rFonts w:ascii="Calibri" w:hAnsi="Calibri" w:eastAsia="Calibri"/>
          <w:sz w:val="22"/>
        </w:rPr>
        <w:t xml:space="preserve">, accomplir les actes suivants : </w:t>
      </w:r>
      <w:r>
        <w:rPr>
          <w:rFonts w:ascii="Calibri" w:hAnsi="Calibri" w:eastAsia="Calibri"/>
          <w:sz w:val="22"/>
          <w:highlight w:val="yellow"/>
        </w:rPr>
        <w:t>[acquisition ou cession d’immeubles ou de fonds de commerce ; emprunts supérieurs à … € ; constitution de sûretés ; prise de participations…]</w:t>
      </w:r>
      <w:r>
        <w:rPr>
          <w:rFonts w:ascii="Calibri" w:hAnsi="Calibri" w:eastAsia="Calibri"/>
          <w:sz w:val="22"/>
        </w:rPr>
        <w:t>.</w:t>
      </w:r>
    </w:p>
    <w:p>
      <w:pPr>
        <w:keepNext/>
        <w:spacing w:after="80" w:before="80"/>
      </w:pPr>
      <w:r>
        <w:rPr>
          <w:rFonts w:ascii="Calibri" w:hAnsi="Calibri" w:eastAsia="Calibri"/>
          <w:b/>
          <w:sz w:val="22"/>
        </w:rPr>
        <w:t>Rémunération</w:t>
      </w:r>
    </w:p>
    <w:p>
      <w:pPr>
        <w:spacing w:after="120" w:before="0"/>
        <w:jc w:val="both"/>
      </w:pPr>
      <w:r>
        <w:rPr>
          <w:rFonts w:ascii="Calibri" w:hAnsi="Calibri" w:eastAsia="Calibri"/>
          <w:sz w:val="22"/>
        </w:rPr>
        <w:t xml:space="preserve">Chaque gérant exerce ses fonctions </w:t>
      </w:r>
      <w:r>
        <w:rPr>
          <w:rFonts w:ascii="Calibri" w:hAnsi="Calibri" w:eastAsia="Calibri"/>
          <w:sz w:val="22"/>
          <w:highlight w:val="yellow"/>
        </w:rPr>
        <w:t>[à titre gratuit / moyennant une rémunération fixée par décision ordinaire des associés]</w:t>
      </w:r>
      <w:r>
        <w:rPr>
          <w:rFonts w:ascii="Calibri" w:hAnsi="Calibri" w:eastAsia="Calibri"/>
          <w:sz w:val="22"/>
        </w:rPr>
        <w:t xml:space="preserve"> et a droit au remboursement de ses frais engagés dans l’intérêt de la société, sur justificatifs.</w:t>
      </w:r>
    </w:p>
    <w:p>
      <w:pPr>
        <w:keepNext/>
        <w:spacing w:after="80" w:before="80"/>
      </w:pPr>
      <w:r>
        <w:rPr>
          <w:rFonts w:ascii="Calibri" w:hAnsi="Calibri" w:eastAsia="Calibri"/>
          <w:b/>
          <w:sz w:val="22"/>
        </w:rPr>
        <w:t>Fin des fonctions</w:t>
      </w:r>
    </w:p>
    <w:p>
      <w:pPr>
        <w:spacing w:after="120" w:before="0"/>
        <w:jc w:val="both"/>
      </w:pPr>
      <w:r>
        <w:rPr>
          <w:rFonts w:ascii="Calibri" w:hAnsi="Calibri" w:eastAsia="Calibri"/>
          <w:sz w:val="22"/>
        </w:rPr>
        <w:t xml:space="preserve">Le gérant peut démissionner moyennant un préavis de </w:t>
      </w:r>
      <w:r>
        <w:rPr>
          <w:rFonts w:ascii="Calibri" w:hAnsi="Calibri" w:eastAsia="Calibri"/>
          <w:sz w:val="22"/>
          <w:highlight w:val="yellow"/>
        </w:rPr>
        <w:t>[trois mois]</w:t>
      </w:r>
      <w:r>
        <w:rPr>
          <w:rFonts w:ascii="Calibri" w:hAnsi="Calibri" w:eastAsia="Calibri"/>
          <w:sz w:val="22"/>
        </w:rPr>
        <w:t xml:space="preserve">, notifié à chacun des associés par lettre recommandée, </w:t>
      </w:r>
      <w:r>
        <w:rPr>
          <w:rFonts w:ascii="Calibri" w:hAnsi="Calibri" w:eastAsia="Calibri"/>
          <w:sz w:val="22"/>
          <w:highlight w:val="yellow"/>
        </w:rPr>
        <w:t>[sauf accord des associés sur un délai plus court]</w:t>
      </w:r>
      <w:r>
        <w:rPr>
          <w:rFonts w:ascii="Calibri" w:hAnsi="Calibri" w:eastAsia="Calibri"/>
          <w:sz w:val="22"/>
        </w:rPr>
        <w:t>.</w:t>
      </w:r>
    </w:p>
    <w:p>
      <w:pPr>
        <w:spacing w:after="120" w:before="0"/>
        <w:jc w:val="both"/>
      </w:pPr>
      <w:r>
        <w:rPr>
          <w:rFonts w:ascii="Calibri" w:hAnsi="Calibri" w:eastAsia="Calibri"/>
          <w:sz w:val="22"/>
        </w:rPr>
        <w:t xml:space="preserve">Il peut être révoqué par décision des associés prise dans les conditions prévues à l’article 17 pour les décisions ordinaires </w:t>
      </w:r>
      <w:r>
        <w:rPr>
          <w:rFonts w:ascii="Calibri" w:hAnsi="Calibri" w:eastAsia="Calibri"/>
          <w:sz w:val="22"/>
          <w:highlight w:val="yellow"/>
        </w:rPr>
        <w:t>[ou, majorité plus forte permise par la loi : par décision des associés représentant au moins … des parts sociales]</w:t>
      </w:r>
      <w:r>
        <w:rPr>
          <w:rFonts w:ascii="Calibri" w:hAnsi="Calibri" w:eastAsia="Calibri"/>
          <w:sz w:val="22"/>
        </w:rPr>
        <w:t>. Si la révocation est décidée sans juste motif, elle peut donner lieu à des dommages et intérêts. Le gérant est en outre révocable par les tribunaux pour cause légitime, à la demande de tout associé.</w:t>
      </w:r>
    </w:p>
    <w:p>
      <w:pPr>
        <w:spacing w:after="120" w:before="0"/>
        <w:jc w:val="both"/>
      </w:pPr>
      <w:r>
        <w:rPr>
          <w:rFonts w:ascii="Calibri" w:hAnsi="Calibri" w:eastAsia="Calibri"/>
          <w:sz w:val="22"/>
        </w:rPr>
        <w:t>En cas de cessation des fonctions d’un gérant nommé dans les statuts, la mention de son nom peut être supprimée des statuts par décision des associés prise dans les conditions prévues à l’article 17 pour les décisions ordinaires. Le gérant peut également mettre les statuts en harmonie avec les dispositions impératives de la loi et des règlements, sous réserve de ratification de cette décision par les associés dans les mêmes conditions.</w:t>
      </w:r>
    </w:p>
    <w:p>
      <w:pPr>
        <w:keepNext/>
        <w:spacing w:after="80" w:before="80"/>
      </w:pPr>
      <w:r>
        <w:rPr>
          <w:rFonts w:ascii="Calibri" w:hAnsi="Calibri" w:eastAsia="Calibri"/>
          <w:b/>
          <w:sz w:val="22"/>
        </w:rPr>
        <w:t>Responsabilité</w:t>
      </w:r>
    </w:p>
    <w:p>
      <w:pPr>
        <w:spacing w:after="120" w:before="0"/>
        <w:jc w:val="both"/>
      </w:pPr>
      <w:r>
        <w:rPr>
          <w:rFonts w:ascii="Calibri" w:hAnsi="Calibri" w:eastAsia="Calibri"/>
          <w:sz w:val="22"/>
        </w:rPr>
        <w:t>Les gérants sont responsables, individuellement ou solidairement selon le cas, envers la société ou envers les tiers, des infractions aux dispositions législatives ou réglementaires applicables aux sociétés à responsabilité limitée, des violations des statuts et des fautes commises dans leur gestion.</w:t>
      </w:r>
    </w:p>
    <w:p>
      <w:pPr>
        <w:keepNext/>
        <w:spacing w:after="80" w:before="120"/>
      </w:pPr>
      <w:r>
        <w:rPr>
          <w:rFonts w:ascii="Calibri" w:hAnsi="Calibri" w:eastAsia="Calibri"/>
          <w:b/>
          <w:sz w:val="22"/>
        </w:rPr>
        <w:t>Article 14 — Conventions entre la société et ses gérants ou associés</w:t>
      </w:r>
    </w:p>
    <w:p>
      <w:pPr>
        <w:spacing w:after="120" w:before="0"/>
        <w:jc w:val="both"/>
      </w:pPr>
      <w:r>
        <w:rPr>
          <w:rFonts w:ascii="Calibri" w:hAnsi="Calibri" w:eastAsia="Calibri"/>
          <w:sz w:val="22"/>
        </w:rPr>
        <w:t>Le gérant ou, s’il en existe un, le commissaire aux comptes présente à l’assemblée, ou joint aux documents communiqués aux associés en cas de consultation écrite, un rapport sur les conventions intervenues directement ou par personnes interposées entre la société et l’un de ses gérants ou associés. L’assemblée statue sur ce rapport ; le gérant ou l’associé intéressé ne peut prendre part au vote et ses parts ne sont pas prises en compte pour le calcul du quorum et de la majorité.</w:t>
      </w:r>
    </w:p>
    <w:p>
      <w:pPr>
        <w:spacing w:after="120" w:before="0"/>
        <w:jc w:val="both"/>
      </w:pPr>
      <w:r>
        <w:rPr>
          <w:rFonts w:ascii="Calibri" w:hAnsi="Calibri" w:eastAsia="Calibri"/>
          <w:sz w:val="22"/>
        </w:rPr>
        <w:t>Toutefois, s’il n’existe pas de commissaire aux comptes, les conventions conclues par un gérant non associé sont soumises à l’approbation préalable de l’assemblée. Les conventions non approuvées produisent néanmoins leurs effets, à charge pour le gérant et, s’il y a lieu, pour l’associé contractant de supporter, individuellement ou solidairement selon les cas, les conséquences du contrat préjudiciables à la société. Ces règles ne s’appliquent pas aux conventions portant sur des opérations courantes et conclues à des conditions normales.</w:t>
      </w:r>
    </w:p>
    <w:p>
      <w:pPr>
        <w:spacing w:after="120" w:before="0"/>
        <w:jc w:val="both"/>
      </w:pPr>
      <w:r>
        <w:rPr>
          <w:rFonts w:ascii="Calibri" w:hAnsi="Calibri" w:eastAsia="Calibri"/>
          <w:sz w:val="22"/>
        </w:rPr>
        <w:t>Les dispositions du présent article s’étendent aux conventions passées avec une société dont un associé indéfiniment responsable, gérant, administrateur, directeur général, membre du directoire ou membre du conseil de surveillance est simultanément gérant ou associé de la société.</w:t>
      </w:r>
    </w:p>
    <w:p>
      <w:pPr>
        <w:keepNext/>
        <w:spacing w:after="160" w:before="240"/>
        <w:jc w:val="center"/>
      </w:pPr>
      <w:r>
        <w:rPr>
          <w:rFonts w:ascii="Calibri" w:hAnsi="Calibri" w:eastAsia="Calibri"/>
          <w:b/>
          <w:sz w:val="23"/>
        </w:rPr>
        <w:t>TITRE V — DÉCISIONS COLLECTIVES DES ASSOCIÉS</w:t>
      </w:r>
    </w:p>
    <w:p>
      <w:pPr>
        <w:keepNext/>
        <w:spacing w:after="80" w:before="120"/>
      </w:pPr>
      <w:r>
        <w:rPr>
          <w:rFonts w:ascii="Calibri" w:hAnsi="Calibri" w:eastAsia="Calibri"/>
          <w:b/>
          <w:sz w:val="22"/>
        </w:rPr>
        <w:t>Article 15 — Modes de décision</w:t>
      </w:r>
    </w:p>
    <w:p>
      <w:pPr>
        <w:spacing w:after="120" w:before="0"/>
        <w:jc w:val="both"/>
      </w:pPr>
      <w:r>
        <w:rPr>
          <w:rFonts w:ascii="Calibri" w:hAnsi="Calibri" w:eastAsia="Calibri"/>
          <w:sz w:val="22"/>
        </w:rPr>
        <w:t xml:space="preserve">Les décisions collectives sont prises en assemblée. </w:t>
      </w:r>
      <w:r>
        <w:rPr>
          <w:rFonts w:ascii="Calibri" w:hAnsi="Calibri" w:eastAsia="Calibri"/>
          <w:sz w:val="22"/>
          <w:highlight w:val="yellow"/>
        </w:rPr>
        <w:t>[Option :]</w:t>
      </w:r>
      <w:r>
        <w:rPr>
          <w:rFonts w:ascii="Calibri" w:hAnsi="Calibri" w:eastAsia="Calibri"/>
          <w:sz w:val="22"/>
        </w:rPr>
        <w:t xml:space="preserve"> Elles peuvent également, à l’initiative de la gérance, être prises par consultation écrite des associés ou résulter du consentement de tous les associés exprimé dans un acte, y compris par voie électronique, à l’exception de l’approbation annuelle des comptes, qui a lieu en assemblée.</w:t>
      </w:r>
    </w:p>
    <w:p>
      <w:pPr>
        <w:spacing w:after="120" w:before="0"/>
        <w:jc w:val="both"/>
      </w:pPr>
      <w:r>
        <w:rPr>
          <w:rFonts w:ascii="Calibri" w:hAnsi="Calibri" w:eastAsia="Calibri"/>
          <w:b/>
          <w:sz w:val="22"/>
        </w:rPr>
        <w:t xml:space="preserve">Consultation écrite. </w:t>
      </w:r>
      <w:r>
        <w:rPr>
          <w:rFonts w:ascii="Calibri" w:hAnsi="Calibri" w:eastAsia="Calibri"/>
          <w:sz w:val="22"/>
        </w:rPr>
        <w:t xml:space="preserve">Le texte des résolutions proposées et les documents nécessaires à l’information des associés sont adressés à chacun d’eux par lettre recommandée </w:t>
      </w:r>
      <w:r>
        <w:rPr>
          <w:rFonts w:ascii="Calibri" w:hAnsi="Calibri" w:eastAsia="Calibri"/>
          <w:sz w:val="22"/>
          <w:highlight w:val="yellow"/>
        </w:rPr>
        <w:t>[ou, pour les associés qui l’ont accepté, par voie électronique]</w:t>
      </w:r>
      <w:r>
        <w:rPr>
          <w:rFonts w:ascii="Calibri" w:hAnsi="Calibri" w:eastAsia="Calibri"/>
          <w:sz w:val="22"/>
        </w:rPr>
        <w:t xml:space="preserve">. Les associés disposent d’un délai de </w:t>
      </w:r>
      <w:r>
        <w:rPr>
          <w:rFonts w:ascii="Calibri" w:hAnsi="Calibri" w:eastAsia="Calibri"/>
          <w:sz w:val="22"/>
          <w:highlight w:val="yellow"/>
        </w:rPr>
        <w:t>[quinze]</w:t>
      </w:r>
      <w:r>
        <w:rPr>
          <w:rFonts w:ascii="Calibri" w:hAnsi="Calibri" w:eastAsia="Calibri"/>
          <w:sz w:val="22"/>
        </w:rPr>
        <w:t xml:space="preserve"> jours au moins à compter de la date de réception des projets de résolution pour émettre leur vote par écrit ; tout associé n’ayant pas répondu dans ce délai est considéré comme </w:t>
      </w:r>
      <w:r>
        <w:rPr>
          <w:rFonts w:ascii="Calibri" w:hAnsi="Calibri" w:eastAsia="Calibri"/>
          <w:sz w:val="22"/>
          <w:highlight w:val="yellow"/>
        </w:rPr>
        <w:t>[s’étant abstenu / n’ayant pas pris part au vote]</w:t>
      </w:r>
      <w:r>
        <w:rPr>
          <w:rFonts w:ascii="Calibri" w:hAnsi="Calibri" w:eastAsia="Calibri"/>
          <w:sz w:val="22"/>
        </w:rPr>
        <w:t>.</w:t>
      </w:r>
    </w:p>
    <w:p>
      <w:pPr>
        <w:keepNext/>
        <w:spacing w:after="80" w:before="120"/>
      </w:pPr>
      <w:r>
        <w:rPr>
          <w:rFonts w:ascii="Calibri" w:hAnsi="Calibri" w:eastAsia="Calibri"/>
          <w:b/>
          <w:sz w:val="22"/>
        </w:rPr>
        <w:t>Article 16 — Assemblées</w:t>
      </w:r>
    </w:p>
    <w:p>
      <w:pPr>
        <w:spacing w:after="120" w:before="0"/>
        <w:jc w:val="both"/>
      </w:pPr>
      <w:r>
        <w:rPr>
          <w:rFonts w:ascii="Calibri" w:hAnsi="Calibri" w:eastAsia="Calibri"/>
          <w:b/>
          <w:sz w:val="22"/>
        </w:rPr>
        <w:t xml:space="preserve">Convocation. </w:t>
      </w:r>
      <w:r>
        <w:rPr>
          <w:rFonts w:ascii="Calibri" w:hAnsi="Calibri" w:eastAsia="Calibri"/>
          <w:sz w:val="22"/>
        </w:rPr>
        <w:t>Les associés sont convoqués par la gérance ou, à défaut, par le commissaire aux comptes s’il en existe un, quinze jours au moins avant la réunion, par lettre recommandée indiquant l’ordre du jour ; les questions inscrites à l’ordre du jour sont libellées de telle sorte que leur contenu et leur portée apparaissent clairement sans qu’il y ait lieu de se reporter à d’autres documents. La convocation et l’envoi des documents peuvent être faits par voie électronique aux associés qui y ont préalablement consenti par écrit.</w:t>
      </w:r>
    </w:p>
    <w:p>
      <w:pPr>
        <w:spacing w:after="120" w:before="0"/>
        <w:jc w:val="both"/>
      </w:pPr>
      <w:r>
        <w:rPr>
          <w:rFonts w:ascii="Calibri" w:hAnsi="Calibri" w:eastAsia="Calibri"/>
          <w:b/>
          <w:sz w:val="22"/>
        </w:rPr>
        <w:t xml:space="preserve">Demandes des associés. </w:t>
      </w:r>
      <w:r>
        <w:rPr>
          <w:rFonts w:ascii="Calibri" w:hAnsi="Calibri" w:eastAsia="Calibri"/>
          <w:sz w:val="22"/>
        </w:rPr>
        <w:t>Un ou plusieurs associés détenant la moitié des parts sociales ou détenant, s’ils représentent au moins le dixième des associés, le dixième des parts sociales, peuvent demander la réunion d’une assemblée. Un ou plusieurs associés détenant le vingtième des parts sociales peuvent faire inscrire à l’ordre du jour des points ou projets de résolution, dans les conditions réglementaires. Tout associé peut demander en justice la désignation d’un mandataire chargé de convoquer l’assemblée et d’en fixer l’ordre du jour.</w:t>
      </w:r>
    </w:p>
    <w:p>
      <w:pPr>
        <w:spacing w:after="120" w:before="0"/>
        <w:jc w:val="both"/>
      </w:pPr>
      <w:r>
        <w:rPr>
          <w:rFonts w:ascii="Calibri" w:hAnsi="Calibri" w:eastAsia="Calibri"/>
          <w:b/>
          <w:sz w:val="22"/>
        </w:rPr>
        <w:t xml:space="preserve">Représentation. </w:t>
      </w:r>
      <w:r>
        <w:rPr>
          <w:rFonts w:ascii="Calibri" w:hAnsi="Calibri" w:eastAsia="Calibri"/>
          <w:sz w:val="22"/>
        </w:rPr>
        <w:t xml:space="preserve">Un associé peut se faire représenter par son conjoint, à moins que la société ne comprenne que les deux époux, et, sauf si les associés sont au nombre de deux, par un autre associé. </w:t>
      </w:r>
      <w:r>
        <w:rPr>
          <w:rFonts w:ascii="Calibri" w:hAnsi="Calibri" w:eastAsia="Calibri"/>
          <w:sz w:val="22"/>
          <w:highlight w:val="yellow"/>
        </w:rPr>
        <w:t>[Option : il peut également se faire représenter par toute autre personne de son choix.]</w:t>
      </w:r>
      <w:r>
        <w:rPr>
          <w:rFonts w:ascii="Calibri" w:hAnsi="Calibri" w:eastAsia="Calibri"/>
          <w:sz w:val="22"/>
        </w:rPr>
        <w:t xml:space="preserve"> Le mandat vaut pour une seule assemblée ; il peut l’être pour deux assemblées tenues le même jour ou dans un délai de sept jours, et vaut pour les assemblées successives convoquées avec le même ordre du jour. Un associé ne peut voter en personne pour une partie de ses parts et par mandataire pour l’autre.</w:t>
      </w:r>
    </w:p>
    <w:p>
      <w:pPr>
        <w:spacing w:after="120" w:before="0"/>
        <w:jc w:val="both"/>
      </w:pPr>
      <w:r>
        <w:rPr>
          <w:rFonts w:ascii="Calibri" w:hAnsi="Calibri" w:eastAsia="Calibri"/>
          <w:b/>
          <w:sz w:val="22"/>
          <w:highlight w:val="yellow"/>
        </w:rPr>
        <w:t>[Option — participation à distance]</w:t>
      </w:r>
      <w:r>
        <w:rPr>
          <w:rFonts w:ascii="Calibri" w:hAnsi="Calibri" w:eastAsia="Calibri"/>
          <w:sz w:val="22"/>
        </w:rPr>
        <w:t xml:space="preserve"> </w:t>
      </w:r>
      <w:r>
        <w:rPr>
          <w:rFonts w:ascii="Calibri" w:hAnsi="Calibri" w:eastAsia="Calibri"/>
          <w:sz w:val="22"/>
        </w:rPr>
        <w:t xml:space="preserve">Sont réputés présents pour le calcul du quorum et de la majorité les associés qui participent à l’assemblée par un moyen de télécommunication permettant leur identification, dans les conditions réglementaires, sauf lorsque l’assemblée délibère sur les comptes annuels ou, le cas échéant, sur les comptes consolidés. </w:t>
      </w:r>
      <w:r>
        <w:rPr>
          <w:rFonts w:ascii="Calibri" w:hAnsi="Calibri" w:eastAsia="Calibri"/>
          <w:sz w:val="22"/>
          <w:highlight w:val="yellow"/>
        </w:rPr>
        <w:t>[Option : … associés peuvent s’opposer à l’utilisation de ces moyens pour une délibération déterminée.]</w:t>
      </w:r>
    </w:p>
    <w:p>
      <w:pPr>
        <w:spacing w:after="120" w:before="0"/>
        <w:jc w:val="both"/>
      </w:pPr>
      <w:r>
        <w:rPr>
          <w:rFonts w:ascii="Calibri" w:hAnsi="Calibri" w:eastAsia="Calibri"/>
          <w:b/>
          <w:sz w:val="22"/>
          <w:highlight w:val="yellow"/>
        </w:rPr>
        <w:t>[Option — vote par correspondance]</w:t>
      </w:r>
      <w:r>
        <w:rPr>
          <w:rFonts w:ascii="Calibri" w:hAnsi="Calibri" w:eastAsia="Calibri"/>
          <w:sz w:val="22"/>
        </w:rPr>
        <w:t xml:space="preserve"> </w:t>
      </w:r>
      <w:r>
        <w:rPr>
          <w:rFonts w:ascii="Calibri" w:hAnsi="Calibri" w:eastAsia="Calibri"/>
          <w:sz w:val="22"/>
        </w:rPr>
        <w:t xml:space="preserve">Tout associé peut voter par correspondance au moyen d’un formulaire, éventuellement électronique, dont les mentions sont fixées par la réglementation ; les formulaires parvenus à la société après le </w:t>
      </w:r>
      <w:r>
        <w:rPr>
          <w:rFonts w:ascii="Calibri" w:hAnsi="Calibri" w:eastAsia="Calibri"/>
          <w:sz w:val="22"/>
          <w:highlight w:val="yellow"/>
        </w:rPr>
        <w:t>[…]</w:t>
      </w:r>
      <w:r>
        <w:rPr>
          <w:rFonts w:ascii="Calibri" w:hAnsi="Calibri" w:eastAsia="Calibri"/>
          <w:sz w:val="22"/>
        </w:rPr>
        <w:t xml:space="preserve"> ne sont pas pris en compte.</w:t>
      </w:r>
    </w:p>
    <w:p>
      <w:pPr>
        <w:spacing w:after="120" w:before="0"/>
        <w:jc w:val="both"/>
      </w:pPr>
      <w:r>
        <w:rPr>
          <w:rFonts w:ascii="Calibri" w:hAnsi="Calibri" w:eastAsia="Calibri"/>
          <w:b/>
          <w:sz w:val="22"/>
        </w:rPr>
        <w:t xml:space="preserve">Tenue. </w:t>
      </w:r>
      <w:r>
        <w:rPr>
          <w:rFonts w:ascii="Calibri" w:hAnsi="Calibri" w:eastAsia="Calibri"/>
          <w:sz w:val="22"/>
        </w:rPr>
        <w:t xml:space="preserve">L’assemblée est présidée par le gérant ou par l’un des gérants. Si aucun des gérants n’est associé, elle est présidée par l’associé présent et acceptant qui possède ou représente le plus grand nombre de parts ou, en cas d’égalité, par le plus âgé. </w:t>
      </w:r>
      <w:r>
        <w:rPr>
          <w:rFonts w:ascii="Calibri" w:hAnsi="Calibri" w:eastAsia="Calibri"/>
          <w:sz w:val="22"/>
          <w:highlight w:val="yellow"/>
        </w:rPr>
        <w:t>[Une feuille de présence est émargée par les associés présents et les mandataires.]</w:t>
      </w:r>
    </w:p>
    <w:p>
      <w:pPr>
        <w:spacing w:after="120" w:before="0"/>
        <w:jc w:val="both"/>
      </w:pPr>
      <w:r>
        <w:rPr>
          <w:rFonts w:ascii="Calibri" w:hAnsi="Calibri" w:eastAsia="Calibri"/>
          <w:b/>
          <w:sz w:val="22"/>
        </w:rPr>
        <w:t xml:space="preserve">Commissaire aux comptes. </w:t>
      </w:r>
      <w:r>
        <w:rPr>
          <w:rFonts w:ascii="Calibri" w:hAnsi="Calibri" w:eastAsia="Calibri"/>
          <w:sz w:val="22"/>
        </w:rPr>
        <w:t>Le commissaire aux comptes, s’il en existe un, est avisé des assemblées et des consultations écrites au plus tard en même temps que les associés ; il a accès aux assemblées.</w:t>
      </w:r>
    </w:p>
    <w:p>
      <w:pPr>
        <w:keepNext/>
        <w:spacing w:after="80" w:before="120"/>
      </w:pPr>
      <w:r>
        <w:rPr>
          <w:rFonts w:ascii="Calibri" w:hAnsi="Calibri" w:eastAsia="Calibri"/>
          <w:b/>
          <w:sz w:val="22"/>
        </w:rPr>
        <w:t>Article 17 — Majorités</w:t>
      </w:r>
    </w:p>
    <w:p>
      <w:pPr>
        <w:spacing w:after="120" w:before="0"/>
        <w:jc w:val="both"/>
      </w:pPr>
      <w:r>
        <w:rPr>
          <w:rFonts w:ascii="Calibri" w:hAnsi="Calibri" w:eastAsia="Calibri"/>
          <w:sz w:val="22"/>
        </w:rPr>
        <w:t>Chaque associé a droit de participer aux décisions et dispose d’un nombre de voix égal à celui des parts sociales qu’il possède.</w:t>
      </w:r>
    </w:p>
    <w:tbl>
      <w:tblPr>
        <w:tblStyle w:val="TableGrid"/>
        <w:tblW w:type="auto" w:w="0"/>
        <w:tblLayout w:type="fixed"/>
        <w:tblLook w:firstColumn="1" w:firstRow="1" w:lastColumn="0" w:lastRow="0" w:noHBand="0" w:noVBand="1" w:val="04A0"/>
      </w:tblPr>
      <w:tblGrid>
        <w:gridCol w:w="3741"/>
        <w:gridCol w:w="2381"/>
        <w:gridCol w:w="3174"/>
      </w:tblGrid>
      <w:tr>
        <w:tc>
          <w:tcPr>
            <w:tcW w:type="dxa" w:w="3742"/>
            <w:shd w:val="clear" w:color="auto" w:fill="E8EEF4"/>
          </w:tcPr>
          <w:p>
            <w:pPr>
              <w:spacing w:after="40" w:before="0"/>
            </w:pPr>
            <w:r>
              <w:rPr>
                <w:rFonts w:ascii="Calibri" w:hAnsi="Calibri" w:eastAsia="Calibri"/>
                <w:b/>
                <w:sz w:val="19"/>
              </w:rPr>
              <w:t>Nature de la décision</w:t>
            </w:r>
          </w:p>
        </w:tc>
        <w:tc>
          <w:tcPr>
            <w:tcW w:type="dxa" w:w="2381"/>
            <w:shd w:val="clear" w:color="auto" w:fill="E8EEF4"/>
          </w:tcPr>
          <w:p>
            <w:pPr>
              <w:spacing w:after="40" w:before="0"/>
            </w:pPr>
            <w:r>
              <w:rPr>
                <w:rFonts w:ascii="Calibri" w:hAnsi="Calibri" w:eastAsia="Calibri"/>
                <w:b/>
                <w:sz w:val="19"/>
              </w:rPr>
              <w:t>Quorum</w:t>
            </w:r>
          </w:p>
        </w:tc>
        <w:tc>
          <w:tcPr>
            <w:tcW w:type="dxa" w:w="3175"/>
            <w:shd w:val="clear" w:color="auto" w:fill="E8EEF4"/>
          </w:tcPr>
          <w:p>
            <w:pPr>
              <w:spacing w:after="40" w:before="0"/>
            </w:pPr>
            <w:r>
              <w:rPr>
                <w:rFonts w:ascii="Calibri" w:hAnsi="Calibri" w:eastAsia="Calibri"/>
                <w:b/>
                <w:sz w:val="19"/>
              </w:rPr>
              <w:t>Majorité requise</w:t>
            </w:r>
          </w:p>
        </w:tc>
      </w:tr>
      <w:tr>
        <w:tc>
          <w:tcPr>
            <w:tcW w:type="dxa" w:w="3742"/>
          </w:tcPr>
          <w:p>
            <w:pPr>
              <w:spacing w:after="40" w:before="0"/>
            </w:pPr>
            <w:r>
              <w:rPr>
                <w:rFonts w:ascii="Calibri" w:hAnsi="Calibri" w:eastAsia="Calibri"/>
                <w:sz w:val="19"/>
              </w:rPr>
              <w:t>Décisions ordinaires (comptes, affectation du résultat, nomination et révocation des gérants, conventions, ratification du transfert de siège…)</w:t>
            </w:r>
          </w:p>
        </w:tc>
        <w:tc>
          <w:tcPr>
            <w:tcW w:type="dxa" w:w="2381"/>
          </w:tcPr>
          <w:p>
            <w:pPr>
              <w:spacing w:after="40" w:before="0"/>
            </w:pPr>
            <w:r>
              <w:rPr>
                <w:rFonts w:ascii="Calibri" w:hAnsi="Calibri" w:eastAsia="Calibri"/>
                <w:sz w:val="19"/>
              </w:rPr>
              <w:t>—</w:t>
            </w:r>
          </w:p>
        </w:tc>
        <w:tc>
          <w:tcPr>
            <w:tcW w:type="dxa" w:w="3175"/>
          </w:tcPr>
          <w:p>
            <w:pPr>
              <w:spacing w:after="40" w:before="0"/>
            </w:pPr>
            <w:r>
              <w:rPr>
                <w:rFonts w:ascii="Calibri" w:hAnsi="Calibri" w:eastAsia="Calibri"/>
                <w:sz w:val="19"/>
              </w:rPr>
              <w:t xml:space="preserve">Associés représentant plus de la moitié des parts sociales ; à défaut, sur seconde convocation ou consultation, majorité des votes émis </w:t>
            </w:r>
            <w:r>
              <w:rPr>
                <w:rFonts w:ascii="Calibri" w:hAnsi="Calibri" w:eastAsia="Calibri"/>
                <w:sz w:val="19"/>
                <w:highlight w:val="yellow"/>
              </w:rPr>
              <w:t>[— option : seconde consultation exclue]</w:t>
            </w:r>
          </w:p>
        </w:tc>
      </w:tr>
      <w:tr>
        <w:tc>
          <w:tcPr>
            <w:tcW w:type="dxa" w:w="3742"/>
          </w:tcPr>
          <w:p>
            <w:pPr>
              <w:spacing w:after="40" w:before="0"/>
            </w:pPr>
            <w:r>
              <w:rPr>
                <w:rFonts w:ascii="Calibri" w:hAnsi="Calibri" w:eastAsia="Calibri"/>
                <w:sz w:val="19"/>
              </w:rPr>
              <w:t>Modification des statuts</w:t>
            </w:r>
          </w:p>
        </w:tc>
        <w:tc>
          <w:tcPr>
            <w:tcW w:type="dxa" w:w="2381"/>
          </w:tcPr>
          <w:p>
            <w:pPr>
              <w:spacing w:after="40" w:before="0"/>
            </w:pPr>
            <w:r>
              <w:rPr>
                <w:rFonts w:ascii="Calibri" w:hAnsi="Calibri" w:eastAsia="Calibri"/>
                <w:sz w:val="19"/>
              </w:rPr>
              <w:t xml:space="preserve">Un quart des parts sur première convocation, un cinquième sur seconde convocation </w:t>
            </w:r>
            <w:r>
              <w:rPr>
                <w:rFonts w:ascii="Calibri" w:hAnsi="Calibri" w:eastAsia="Calibri"/>
                <w:sz w:val="19"/>
                <w:highlight w:val="yellow"/>
              </w:rPr>
              <w:t>[ou quorum plus élevé]</w:t>
            </w:r>
          </w:p>
        </w:tc>
        <w:tc>
          <w:tcPr>
            <w:tcW w:type="dxa" w:w="3175"/>
          </w:tcPr>
          <w:p>
            <w:pPr>
              <w:spacing w:after="40" w:before="0"/>
            </w:pPr>
            <w:r>
              <w:rPr>
                <w:rFonts w:ascii="Calibri" w:hAnsi="Calibri" w:eastAsia="Calibri"/>
                <w:sz w:val="19"/>
              </w:rPr>
              <w:t xml:space="preserve">Deux tiers des parts détenues par les associés présents ou représentés </w:t>
            </w:r>
            <w:r>
              <w:rPr>
                <w:rFonts w:ascii="Calibri" w:hAnsi="Calibri" w:eastAsia="Calibri"/>
                <w:sz w:val="19"/>
                <w:highlight w:val="yellow"/>
              </w:rPr>
              <w:t>[ou majorité plus élevée, sans pouvoir exiger l’unanimité]</w:t>
            </w:r>
          </w:p>
        </w:tc>
      </w:tr>
      <w:tr>
        <w:tc>
          <w:tcPr>
            <w:tcW w:type="dxa" w:w="3742"/>
          </w:tcPr>
          <w:p>
            <w:pPr>
              <w:spacing w:after="40" w:before="0"/>
            </w:pPr>
            <w:r>
              <w:rPr>
                <w:rFonts w:ascii="Calibri" w:hAnsi="Calibri" w:eastAsia="Calibri"/>
                <w:sz w:val="19"/>
              </w:rPr>
              <w:t>Transfert du siège social</w:t>
            </w:r>
          </w:p>
        </w:tc>
        <w:tc>
          <w:tcPr>
            <w:tcW w:type="dxa" w:w="2381"/>
          </w:tcPr>
          <w:p>
            <w:pPr>
              <w:spacing w:after="40" w:before="0"/>
            </w:pPr>
            <w:r>
              <w:rPr>
                <w:rFonts w:ascii="Calibri" w:hAnsi="Calibri" w:eastAsia="Calibri"/>
                <w:sz w:val="19"/>
              </w:rPr>
              <w:t>—</w:t>
            </w:r>
          </w:p>
        </w:tc>
        <w:tc>
          <w:tcPr>
            <w:tcW w:type="dxa" w:w="3175"/>
          </w:tcPr>
          <w:p>
            <w:pPr>
              <w:spacing w:after="40" w:before="0"/>
            </w:pPr>
            <w:r>
              <w:rPr>
                <w:rFonts w:ascii="Calibri" w:hAnsi="Calibri" w:eastAsia="Calibri"/>
                <w:sz w:val="19"/>
              </w:rPr>
              <w:t>Associés représentant plus de la moitié des parts sociales</w:t>
            </w:r>
          </w:p>
        </w:tc>
      </w:tr>
      <w:tr>
        <w:tc>
          <w:tcPr>
            <w:tcW w:type="dxa" w:w="3742"/>
          </w:tcPr>
          <w:p>
            <w:pPr>
              <w:spacing w:after="40" w:before="0"/>
            </w:pPr>
            <w:r>
              <w:rPr>
                <w:rFonts w:ascii="Calibri" w:hAnsi="Calibri" w:eastAsia="Calibri"/>
                <w:sz w:val="19"/>
              </w:rPr>
              <w:t>Augmentation du capital par incorporation de bénéfices ou de réserves</w:t>
            </w:r>
          </w:p>
        </w:tc>
        <w:tc>
          <w:tcPr>
            <w:tcW w:type="dxa" w:w="2381"/>
          </w:tcPr>
          <w:p>
            <w:pPr>
              <w:spacing w:after="40" w:before="0"/>
            </w:pPr>
            <w:r>
              <w:rPr>
                <w:rFonts w:ascii="Calibri" w:hAnsi="Calibri" w:eastAsia="Calibri"/>
                <w:sz w:val="19"/>
              </w:rPr>
              <w:t>—</w:t>
            </w:r>
          </w:p>
        </w:tc>
        <w:tc>
          <w:tcPr>
            <w:tcW w:type="dxa" w:w="3175"/>
          </w:tcPr>
          <w:p>
            <w:pPr>
              <w:spacing w:after="40" w:before="0"/>
            </w:pPr>
            <w:r>
              <w:rPr>
                <w:rFonts w:ascii="Calibri" w:hAnsi="Calibri" w:eastAsia="Calibri"/>
                <w:sz w:val="19"/>
              </w:rPr>
              <w:t>Associés représentant au moins la moitié des parts sociales</w:t>
            </w:r>
          </w:p>
        </w:tc>
      </w:tr>
      <w:tr>
        <w:tc>
          <w:tcPr>
            <w:tcW w:type="dxa" w:w="3742"/>
          </w:tcPr>
          <w:p>
            <w:pPr>
              <w:spacing w:after="40" w:before="0"/>
            </w:pPr>
            <w:r>
              <w:rPr>
                <w:rFonts w:ascii="Calibri" w:hAnsi="Calibri" w:eastAsia="Calibri"/>
                <w:sz w:val="19"/>
              </w:rPr>
              <w:t>Agrément d’un tiers cessionnaire</w:t>
            </w:r>
          </w:p>
        </w:tc>
        <w:tc>
          <w:tcPr>
            <w:tcW w:type="dxa" w:w="2381"/>
          </w:tcPr>
          <w:p>
            <w:pPr>
              <w:spacing w:after="40" w:before="0"/>
            </w:pPr>
            <w:r>
              <w:rPr>
                <w:rFonts w:ascii="Calibri" w:hAnsi="Calibri" w:eastAsia="Calibri"/>
                <w:sz w:val="19"/>
              </w:rPr>
              <w:t>—</w:t>
            </w:r>
          </w:p>
        </w:tc>
        <w:tc>
          <w:tcPr>
            <w:tcW w:type="dxa" w:w="3175"/>
          </w:tcPr>
          <w:p>
            <w:pPr>
              <w:spacing w:after="40" w:before="0"/>
            </w:pPr>
            <w:r>
              <w:rPr>
                <w:rFonts w:ascii="Calibri" w:hAnsi="Calibri" w:eastAsia="Calibri"/>
                <w:sz w:val="19"/>
              </w:rPr>
              <w:t xml:space="preserve">Majorité des associés représentant au moins </w:t>
            </w:r>
            <w:r>
              <w:rPr>
                <w:rFonts w:ascii="Calibri" w:hAnsi="Calibri" w:eastAsia="Calibri"/>
                <w:sz w:val="19"/>
                <w:highlight w:val="yellow"/>
              </w:rPr>
              <w:t>[la moitié]</w:t>
            </w:r>
            <w:r>
              <w:rPr>
                <w:rFonts w:ascii="Calibri" w:hAnsi="Calibri" w:eastAsia="Calibri"/>
                <w:sz w:val="19"/>
              </w:rPr>
              <w:t xml:space="preserve"> des parts sociales</w:t>
            </w:r>
          </w:p>
        </w:tc>
      </w:tr>
      <w:tr>
        <w:tc>
          <w:tcPr>
            <w:tcW w:type="dxa" w:w="3742"/>
          </w:tcPr>
          <w:p>
            <w:pPr>
              <w:spacing w:after="40" w:before="0"/>
            </w:pPr>
            <w:r>
              <w:rPr>
                <w:rFonts w:ascii="Calibri" w:hAnsi="Calibri" w:eastAsia="Calibri"/>
                <w:sz w:val="19"/>
              </w:rPr>
              <w:t>Changement de nationalité ; augmentation des engagements d’un associé ; transformation en SNC, en commandite simple ou par actions, ou en SAS</w:t>
            </w:r>
          </w:p>
        </w:tc>
        <w:tc>
          <w:tcPr>
            <w:tcW w:type="dxa" w:w="2381"/>
          </w:tcPr>
          <w:p>
            <w:pPr>
              <w:spacing w:after="40" w:before="0"/>
            </w:pPr>
            <w:r>
              <w:rPr>
                <w:rFonts w:ascii="Calibri" w:hAnsi="Calibri" w:eastAsia="Calibri"/>
                <w:sz w:val="19"/>
              </w:rPr>
              <w:t>—</w:t>
            </w:r>
          </w:p>
        </w:tc>
        <w:tc>
          <w:tcPr>
            <w:tcW w:type="dxa" w:w="3175"/>
          </w:tcPr>
          <w:p>
            <w:pPr>
              <w:spacing w:after="40" w:before="0"/>
            </w:pPr>
            <w:r>
              <w:rPr>
                <w:rFonts w:ascii="Calibri" w:hAnsi="Calibri" w:eastAsia="Calibri"/>
                <w:sz w:val="19"/>
              </w:rPr>
              <w:t>Unanimité des associés</w:t>
            </w:r>
          </w:p>
        </w:tc>
      </w:tr>
    </w:tbl>
    <w:p>
      <w:pPr>
        <w:spacing w:after="160"/>
      </w:pPr>
    </w:p>
    <w:p>
      <w:pPr>
        <w:spacing w:after="120" w:before="0"/>
        <w:jc w:val="both"/>
      </w:pPr>
      <w:r>
        <w:rPr>
          <w:rFonts w:ascii="Calibri" w:hAnsi="Calibri" w:eastAsia="Calibri"/>
          <w:sz w:val="22"/>
        </w:rPr>
        <w:t>La transformation en société d’une autre forme, la dissolution anticipée et la prorogation sont décidées dans les conditions requises pour la modification des statuts, sous réserve des règles légales particulières.</w:t>
      </w:r>
    </w:p>
    <w:p>
      <w:pPr>
        <w:keepNext/>
        <w:spacing w:after="80" w:before="120"/>
      </w:pPr>
      <w:r>
        <w:rPr>
          <w:rFonts w:ascii="Calibri" w:hAnsi="Calibri" w:eastAsia="Calibri"/>
          <w:b/>
          <w:sz w:val="22"/>
        </w:rPr>
        <w:t>Article 18 — Procès-verbaux — Registre</w:t>
      </w:r>
    </w:p>
    <w:p>
      <w:pPr>
        <w:spacing w:after="120" w:before="0"/>
        <w:jc w:val="both"/>
      </w:pPr>
      <w:r>
        <w:rPr>
          <w:rFonts w:ascii="Calibri" w:hAnsi="Calibri" w:eastAsia="Calibri"/>
          <w:sz w:val="22"/>
        </w:rPr>
        <w:t>Toute délibération des associés est constatée par un procès-verbal qui indique la date et le lieu de la réunion, les nom, prénoms et qualité du président de séance, les nom et prénoms des associés présents, réputés présents ou représentés avec le nombre de parts détenues par chacun, les documents et rapports soumis aux associés, un résumé des débats, le texte des résolutions mises aux voix et le résultat des votes. En cas de consultation écrite, il en est fait mention dans le procès-verbal, auquel est annexée la réponse de chaque associé.</w:t>
      </w:r>
    </w:p>
    <w:p>
      <w:pPr>
        <w:spacing w:after="120" w:before="0"/>
        <w:jc w:val="both"/>
      </w:pPr>
      <w:r>
        <w:rPr>
          <w:rFonts w:ascii="Calibri" w:hAnsi="Calibri" w:eastAsia="Calibri"/>
          <w:sz w:val="22"/>
        </w:rPr>
        <w:t>Les procès-verbaux sont établis et signés par le ou les gérants et, le cas échéant, par le président de séance. Ils sont établis sur un registre spécial tenu au siège social, coté et paraphé dans les conditions réglementaires, ou sur des feuilles mobiles numérotées et paraphées, ou sous forme électronique avec une signature électronique avancée et un horodatage. Les copies ou extraits sont valablement certifiés conformes par un seul gérant.</w:t>
      </w:r>
    </w:p>
    <w:p>
      <w:pPr>
        <w:keepNext/>
        <w:spacing w:after="80" w:before="120"/>
      </w:pPr>
      <w:r>
        <w:rPr>
          <w:rFonts w:ascii="Calibri" w:hAnsi="Calibri" w:eastAsia="Calibri"/>
          <w:b/>
          <w:sz w:val="22"/>
        </w:rPr>
        <w:t>Article 19 — Droit de communication des associés</w:t>
      </w:r>
    </w:p>
    <w:p>
      <w:pPr>
        <w:spacing w:after="120" w:before="0"/>
        <w:jc w:val="both"/>
      </w:pPr>
      <w:r>
        <w:rPr>
          <w:rFonts w:ascii="Calibri" w:hAnsi="Calibri" w:eastAsia="Calibri"/>
          <w:sz w:val="22"/>
        </w:rPr>
        <w:t>Les comptes annuels, le rapport de gestion lorsqu’il est requis, le texte des résolutions proposées et, le cas échéant, les rapports du commissaire aux comptes sont adressés aux associés quinze jours au moins avant la date de l’assemblée appelée à statuer sur les comptes ; pendant ce délai, l’inventaire est tenu à leur disposition au siège social. À compter de cette communication, tout associé peut poser par écrit des questions auxquelles le gérant est tenu de répondre au cours de l’assemblée.</w:t>
      </w:r>
    </w:p>
    <w:p>
      <w:pPr>
        <w:spacing w:after="120" w:before="0"/>
        <w:jc w:val="both"/>
      </w:pPr>
      <w:r>
        <w:rPr>
          <w:rFonts w:ascii="Calibri" w:hAnsi="Calibri" w:eastAsia="Calibri"/>
          <w:sz w:val="22"/>
        </w:rPr>
        <w:t>Tout associé peut en outre, à toute époque, obtenir communication des documents sociaux concernant les trois derniers exercices, dans les conditions réglementaires. Tout associé non gérant peut, deux fois par exercice, poser par écrit des questions au gérant sur tout fait de nature à compromettre la continuité de l’exploitation.</w:t>
      </w:r>
    </w:p>
    <w:p>
      <w:pPr>
        <w:keepNext/>
        <w:spacing w:after="160" w:before="240"/>
        <w:jc w:val="center"/>
      </w:pPr>
      <w:r>
        <w:rPr>
          <w:rFonts w:ascii="Calibri" w:hAnsi="Calibri" w:eastAsia="Calibri"/>
          <w:b/>
          <w:sz w:val="23"/>
        </w:rPr>
        <w:t>TITRE VI — EXERCICE SOCIAL — COMPTES — RÉSULTAT</w:t>
      </w:r>
    </w:p>
    <w:p>
      <w:pPr>
        <w:keepNext/>
        <w:spacing w:after="80" w:before="120"/>
      </w:pPr>
      <w:r>
        <w:rPr>
          <w:rFonts w:ascii="Calibri" w:hAnsi="Calibri" w:eastAsia="Calibri"/>
          <w:b/>
          <w:sz w:val="22"/>
        </w:rPr>
        <w:t>Article 20 — Exercice social</w:t>
      </w:r>
    </w:p>
    <w:p>
      <w:pPr>
        <w:spacing w:after="120" w:before="0"/>
        <w:jc w:val="both"/>
      </w:pPr>
      <w:r>
        <w:rPr>
          <w:rFonts w:ascii="Calibri" w:hAnsi="Calibri" w:eastAsia="Calibri"/>
          <w:sz w:val="22"/>
        </w:rPr>
        <w:t xml:space="preserve">L’exercice social commence le </w:t>
      </w:r>
      <w:r>
        <w:rPr>
          <w:rFonts w:ascii="Calibri" w:hAnsi="Calibri" w:eastAsia="Calibri"/>
          <w:sz w:val="22"/>
          <w:highlight w:val="yellow"/>
        </w:rPr>
        <w:t>[1er janvier]</w:t>
      </w:r>
      <w:r>
        <w:rPr>
          <w:rFonts w:ascii="Calibri" w:hAnsi="Calibri" w:eastAsia="Calibri"/>
          <w:sz w:val="22"/>
        </w:rPr>
        <w:t xml:space="preserve"> et se termine le </w:t>
      </w:r>
      <w:r>
        <w:rPr>
          <w:rFonts w:ascii="Calibri" w:hAnsi="Calibri" w:eastAsia="Calibri"/>
          <w:sz w:val="22"/>
          <w:highlight w:val="yellow"/>
        </w:rPr>
        <w:t>[31 décembre]</w:t>
      </w:r>
      <w:r>
        <w:rPr>
          <w:rFonts w:ascii="Calibri" w:hAnsi="Calibri" w:eastAsia="Calibri"/>
          <w:sz w:val="22"/>
        </w:rPr>
        <w:t xml:space="preserve"> de chaque année.</w:t>
      </w:r>
    </w:p>
    <w:p>
      <w:pPr>
        <w:spacing w:after="120" w:before="0"/>
        <w:jc w:val="both"/>
      </w:pPr>
      <w:r>
        <w:rPr>
          <w:rFonts w:ascii="Calibri" w:hAnsi="Calibri" w:eastAsia="Calibri"/>
          <w:sz w:val="22"/>
        </w:rPr>
        <w:t xml:space="preserve">Par exception, le premier exercice commence à la date d’immatriculation de la société au registre du commerce et des sociétés et se termine le </w:t>
      </w:r>
      <w:r>
        <w:rPr>
          <w:rFonts w:ascii="Calibri" w:hAnsi="Calibri" w:eastAsia="Calibri"/>
          <w:sz w:val="22"/>
          <w:highlight w:val="yellow"/>
        </w:rPr>
        <w:t>[date de clôture du premier exercice]</w:t>
      </w:r>
      <w:r>
        <w:rPr>
          <w:rFonts w:ascii="Calibri" w:hAnsi="Calibri" w:eastAsia="Calibri"/>
          <w:sz w:val="22"/>
        </w:rPr>
        <w:t>.</w:t>
      </w:r>
    </w:p>
    <w:p>
      <w:pPr>
        <w:keepNext/>
        <w:spacing w:after="80" w:before="120"/>
      </w:pPr>
      <w:r>
        <w:rPr>
          <w:rFonts w:ascii="Calibri" w:hAnsi="Calibri" w:eastAsia="Calibri"/>
          <w:b/>
          <w:sz w:val="22"/>
        </w:rPr>
        <w:t>Article 21 — Comptes annuels</w:t>
      </w:r>
    </w:p>
    <w:p>
      <w:pPr>
        <w:spacing w:after="120" w:before="0"/>
        <w:jc w:val="both"/>
      </w:pPr>
      <w:r>
        <w:rPr>
          <w:rFonts w:ascii="Calibri" w:hAnsi="Calibri" w:eastAsia="Calibri"/>
          <w:sz w:val="22"/>
        </w:rPr>
        <w:t>À la clôture de chaque exercice, la gérance dresse l’inventaire, établit les comptes annuels et, lorsqu’il est requis, le rapport de gestion. Ces documents sont soumis à l’approbation des associés réunis en assemblée dans le délai de six mois à compter de la clôture de l’exercice, sauf prolongation de ce délai par décision de justice.</w:t>
      </w:r>
    </w:p>
    <w:p>
      <w:pPr>
        <w:keepNext/>
        <w:spacing w:after="80" w:before="120"/>
      </w:pPr>
      <w:r>
        <w:rPr>
          <w:rFonts w:ascii="Calibri" w:hAnsi="Calibri" w:eastAsia="Calibri"/>
          <w:b/>
          <w:sz w:val="22"/>
        </w:rPr>
        <w:t>Article 22 — Commissaires aux comptes</w:t>
      </w:r>
    </w:p>
    <w:p>
      <w:pPr>
        <w:spacing w:after="120" w:before="0"/>
        <w:jc w:val="both"/>
      </w:pPr>
      <w:r>
        <w:rPr>
          <w:rFonts w:ascii="Calibri" w:hAnsi="Calibri" w:eastAsia="Calibri"/>
          <w:sz w:val="22"/>
        </w:rPr>
        <w:t>Les associés peuvent nommer un ou plusieurs commissaires aux comptes par décision ordinaire. La nomination d’un commissaire aux comptes est obligatoire lorsque la société dépasse, à la clôture d’un exercice, deux des trois seuils fixés par décret (total du bilan, chiffre d’affaires hors taxes, nombre moyen de salariés). Elle peut être demandée en justice par un ou plusieurs associés représentant au moins le dixième du capital ; la société est également tenue d’en désigner un, pour trois exercices, lorsque des associés représentant au moins le tiers du capital en font la demande motivée.</w:t>
      </w:r>
    </w:p>
    <w:p>
      <w:pPr>
        <w:keepNext/>
        <w:spacing w:after="80" w:before="120"/>
      </w:pPr>
      <w:r>
        <w:rPr>
          <w:rFonts w:ascii="Calibri" w:hAnsi="Calibri" w:eastAsia="Calibri"/>
          <w:b/>
          <w:sz w:val="22"/>
        </w:rPr>
        <w:t>Article 23 — Affectation et répartition du résultat</w:t>
      </w:r>
    </w:p>
    <w:p>
      <w:pPr>
        <w:spacing w:after="120" w:before="0"/>
        <w:jc w:val="both"/>
      </w:pPr>
      <w:r>
        <w:rPr>
          <w:rFonts w:ascii="Calibri" w:hAnsi="Calibri" w:eastAsia="Calibri"/>
          <w:sz w:val="22"/>
        </w:rPr>
        <w:t>Sur le bénéfice de l’exercice, diminué le cas échéant des pertes antérieures, il est fait un prélèvement d’un vingtième au moins affecté à la formation d’un fonds de réserve dit « réserve légale ». Ce prélèvement cesse d’être obligatoire lorsque la réserve atteint le dixième du capital social ; il reprend son cours lorsque, pour une cause quelconque, la réserve est descendue au-dessous de ce dixième.</w:t>
      </w:r>
    </w:p>
    <w:p>
      <w:pPr>
        <w:spacing w:after="120" w:before="0"/>
        <w:jc w:val="both"/>
      </w:pPr>
      <w:r>
        <w:rPr>
          <w:rFonts w:ascii="Calibri" w:hAnsi="Calibri" w:eastAsia="Calibri"/>
          <w:sz w:val="22"/>
        </w:rPr>
        <w:t>Le bénéfice distribuable est constitué par le bénéfice de l’exercice, diminué des pertes antérieures ainsi que des sommes à porter en réserve en application de la loi ou des statuts, et augmenté du report bénéficiaire.</w:t>
      </w:r>
    </w:p>
    <w:p>
      <w:pPr>
        <w:spacing w:after="120" w:before="0"/>
        <w:jc w:val="both"/>
      </w:pPr>
      <w:r>
        <w:rPr>
          <w:rFonts w:ascii="Calibri" w:hAnsi="Calibri" w:eastAsia="Calibri"/>
          <w:sz w:val="22"/>
        </w:rPr>
        <w:t xml:space="preserve">Après approbation des comptes et constatation de l’existence de sommes distribuables, </w:t>
      </w:r>
      <w:r>
        <w:rPr>
          <w:rFonts w:ascii="Calibri" w:hAnsi="Calibri" w:eastAsia="Calibri"/>
          <w:sz w:val="22"/>
        </w:rPr>
        <w:t>les associés</w:t>
      </w:r>
      <w:r>
        <w:rPr>
          <w:rFonts w:ascii="Calibri" w:hAnsi="Calibri" w:eastAsia="Calibri"/>
          <w:sz w:val="22"/>
        </w:rPr>
        <w:t xml:space="preserve"> décident de les affecter, en tout ou partie, à un ou plusieurs postes de réserves, de les reporter à nouveau ou de les distribuer. Ils peuvent aussi décider la mise en distribution de sommes prélevées sur les réserves dont ils ont la disposition ; la décision indique alors expressément les postes de réserve sur lesquels les prélèvements sont effectués, les dividendes étant prélevés par priorité sur le bénéfice distribuable de l’exercice.</w:t>
      </w:r>
    </w:p>
    <w:p>
      <w:pPr>
        <w:spacing w:after="120" w:before="0"/>
        <w:jc w:val="both"/>
      </w:pPr>
      <w:r>
        <w:rPr>
          <w:rFonts w:ascii="Calibri" w:hAnsi="Calibri" w:eastAsia="Calibri"/>
          <w:sz w:val="22"/>
        </w:rPr>
        <w:t>Hors le cas de réduction du capital, aucune distribution ne peut être faite lorsque les capitaux propres sont ou deviendraient, à la suite de celle-ci, inférieurs au montant du capital augmenté des réserves que la loi ou les statuts ne permettent pas de distribuer.</w:t>
      </w:r>
    </w:p>
    <w:p>
      <w:pPr>
        <w:spacing w:after="120" w:before="0"/>
        <w:jc w:val="both"/>
      </w:pPr>
      <w:r>
        <w:rPr>
          <w:rFonts w:ascii="Calibri" w:hAnsi="Calibri" w:eastAsia="Calibri"/>
          <w:sz w:val="22"/>
        </w:rPr>
        <w:t xml:space="preserve">Les dividendes sont répartis entre les associés à proportion de leurs droits dans le capital. Les modalités de leur mise en paiement sont fixées par la décision de distribution ou, à défaut, par </w:t>
      </w:r>
      <w:r>
        <w:rPr>
          <w:rFonts w:ascii="Calibri" w:hAnsi="Calibri" w:eastAsia="Calibri"/>
          <w:sz w:val="22"/>
        </w:rPr>
        <w:t>la gérance</w:t>
      </w:r>
      <w:r>
        <w:rPr>
          <w:rFonts w:ascii="Calibri" w:hAnsi="Calibri" w:eastAsia="Calibri"/>
          <w:sz w:val="22"/>
        </w:rPr>
        <w:t>. La mise en paiement doit avoir lieu dans un délai maximal de neuf mois après la clôture de l’exercice, sauf prolongation par décision de justice.</w:t>
      </w:r>
    </w:p>
    <w:p>
      <w:pPr>
        <w:spacing w:after="120" w:before="0"/>
        <w:jc w:val="both"/>
      </w:pPr>
      <w:r>
        <w:rPr>
          <w:rFonts w:ascii="Calibri" w:hAnsi="Calibri" w:eastAsia="Calibri"/>
          <w:sz w:val="22"/>
        </w:rPr>
        <w:t>Des acomptes sur dividendes peuvent être distribués avant l’approbation des comptes de l’exercice dans les conditions prévues par l’article L. 232-12 du code de commerce.</w:t>
      </w:r>
    </w:p>
    <w:p>
      <w:pPr>
        <w:spacing w:after="120" w:before="0"/>
        <w:jc w:val="both"/>
      </w:pPr>
      <w:r>
        <w:rPr>
          <w:rFonts w:ascii="Calibri" w:hAnsi="Calibri" w:eastAsia="Calibri"/>
          <w:sz w:val="22"/>
        </w:rPr>
        <w:t>Les pertes, s’il en existe, sont inscrites au compte « report à nouveau » pour être imputées sur les bénéfices des exercices ultérieurs, jusqu’à apurement.</w:t>
      </w:r>
    </w:p>
    <w:p>
      <w:pPr>
        <w:keepNext/>
        <w:spacing w:after="80" w:before="120"/>
      </w:pPr>
      <w:r>
        <w:rPr>
          <w:rFonts w:ascii="Calibri" w:hAnsi="Calibri" w:eastAsia="Calibri"/>
          <w:b/>
          <w:sz w:val="22"/>
        </w:rPr>
        <w:t>Article 24 — Capitaux propres inférieurs à la moitié du capital</w:t>
      </w:r>
    </w:p>
    <w:p>
      <w:pPr>
        <w:spacing w:after="120" w:before="0"/>
        <w:jc w:val="both"/>
      </w:pPr>
      <w:r>
        <w:rPr>
          <w:rFonts w:ascii="Calibri" w:hAnsi="Calibri" w:eastAsia="Calibri"/>
          <w:sz w:val="22"/>
        </w:rPr>
        <w:t>Si, du fait de pertes constatées dans les documents comptables, les capitaux propres de la société deviennent inférieurs à la moitié du capital social, les associés décident, dans les quatre mois qui suivent l’approbation des comptes ayant fait apparaître cette perte, s’il y a lieu à dissolution anticipée de la société. Si la dissolution n’est pas prononcée à la majorité exigée pour la modification des statuts, la société est tenue de régulariser sa situation dans les délais et conditions prévus par l’article L. 223-42 du code de commerce.</w:t>
      </w:r>
    </w:p>
    <w:p>
      <w:pPr>
        <w:keepNext/>
        <w:spacing w:after="160" w:before="240"/>
        <w:jc w:val="center"/>
      </w:pPr>
      <w:r>
        <w:rPr>
          <w:rFonts w:ascii="Calibri" w:hAnsi="Calibri" w:eastAsia="Calibri"/>
          <w:b/>
          <w:sz w:val="23"/>
        </w:rPr>
        <w:t>TITRE VII — TRANSFORMATION — DISSOLUTION — LIQUIDATION — CONTESTATIONS</w:t>
      </w:r>
    </w:p>
    <w:p>
      <w:pPr>
        <w:keepNext/>
        <w:spacing w:after="80" w:before="120"/>
      </w:pPr>
      <w:r>
        <w:rPr>
          <w:rFonts w:ascii="Calibri" w:hAnsi="Calibri" w:eastAsia="Calibri"/>
          <w:b/>
          <w:sz w:val="22"/>
        </w:rPr>
        <w:t>Article 25 — Transformation</w:t>
      </w:r>
    </w:p>
    <w:p>
      <w:pPr>
        <w:spacing w:after="120" w:before="0"/>
        <w:jc w:val="both"/>
      </w:pPr>
      <w:r>
        <w:rPr>
          <w:rFonts w:ascii="Calibri" w:hAnsi="Calibri" w:eastAsia="Calibri"/>
          <w:sz w:val="22"/>
        </w:rPr>
        <w:t>La société peut être transformée en société d’une autre forme. La transformation en société en nom collectif, en commandite simple ou en commandite par actions exige l’accord unanime des associés, de même que la transformation en société par actions simplifiée. La transformation en société anonyme est décidée à la majorité requise pour la modification des statuts ou, si les capitaux propres figurant au dernier bilan excèdent 750 000 €, par des associés représentant la majorité des parts sociales ; elle est précédée du rapport d’un commissaire aux comptes inscrit sur la situation de la société. Les autres transformations obéissent aux conditions prévues par la loi.</w:t>
      </w:r>
    </w:p>
    <w:p>
      <w:pPr>
        <w:keepNext/>
        <w:spacing w:after="80" w:before="120"/>
      </w:pPr>
      <w:r>
        <w:rPr>
          <w:rFonts w:ascii="Calibri" w:hAnsi="Calibri" w:eastAsia="Calibri"/>
          <w:b/>
          <w:sz w:val="22"/>
        </w:rPr>
        <w:t>Article 26 — Dissolution — Liquidation</w:t>
      </w:r>
    </w:p>
    <w:p>
      <w:pPr>
        <w:spacing w:after="120" w:before="0"/>
        <w:jc w:val="both"/>
      </w:pPr>
      <w:r>
        <w:rPr>
          <w:rFonts w:ascii="Calibri" w:hAnsi="Calibri" w:eastAsia="Calibri"/>
          <w:sz w:val="22"/>
        </w:rPr>
        <w:t>Outre les causes de dissolution prévues par la loi, la dissolution anticipée de la société peut être décidée par les associés dans les conditions requises pour la modification des statuts.</w:t>
      </w:r>
    </w:p>
    <w:p>
      <w:pPr>
        <w:spacing w:after="120" w:before="0"/>
        <w:jc w:val="both"/>
      </w:pPr>
      <w:r>
        <w:rPr>
          <w:rFonts w:ascii="Calibri" w:hAnsi="Calibri" w:eastAsia="Calibri"/>
          <w:sz w:val="22"/>
        </w:rPr>
        <w:t>La société est en liquidation dès l’instant de sa dissolution, sauf dissolution sans liquidation. Sa dénomination est alors suivie de la mention « société en liquidation » et sa personnalité morale subsiste pour les besoins de la liquidation jusqu’à la publication de la clôture de celle-ci. Les associés nomment un ou plusieurs liquidateurs, choisis parmi eux ou en dehors d’eux, dont ils fixent les pouvoirs et la rémunération ; leur mandat ne peut excéder trois ans, sauf renouvellement.</w:t>
      </w:r>
    </w:p>
    <w:p>
      <w:pPr>
        <w:spacing w:after="120" w:before="0"/>
        <w:jc w:val="both"/>
      </w:pPr>
      <w:r>
        <w:rPr>
          <w:rFonts w:ascii="Calibri" w:hAnsi="Calibri" w:eastAsia="Calibri"/>
          <w:sz w:val="22"/>
        </w:rPr>
        <w:t>Après paiement du passif et remboursement du nominal des parts, le boni de liquidation est réparti entre les associés à proportion de leurs droits dans le capital ; les pertes, s’il en existe, sont supportées dans la même proportion, sans que les associés puissent être tenus au-delà de leurs apports.</w:t>
      </w:r>
    </w:p>
    <w:p>
      <w:pPr>
        <w:spacing w:after="120" w:before="0"/>
        <w:jc w:val="both"/>
      </w:pPr>
      <w:r>
        <w:rPr>
          <w:rFonts w:ascii="Calibri" w:hAnsi="Calibri" w:eastAsia="Calibri"/>
          <w:sz w:val="22"/>
        </w:rPr>
        <w:t>Lorsque toutes les parts sont réunies entre les mains d’un associé unique personne morale, la dissolution entraîne la transmission universelle du patrimoine de la société à cet associé, sans liquidation, dans les conditions prévues par l’article 1844-5 du code civil.</w:t>
      </w:r>
    </w:p>
    <w:p>
      <w:pPr>
        <w:keepNext/>
        <w:spacing w:after="80" w:before="120"/>
      </w:pPr>
      <w:r>
        <w:rPr>
          <w:rFonts w:ascii="Calibri" w:hAnsi="Calibri" w:eastAsia="Calibri"/>
          <w:b/>
          <w:sz w:val="22"/>
        </w:rPr>
        <w:t>Article 27 — Contestations</w:t>
      </w:r>
    </w:p>
    <w:p>
      <w:pPr>
        <w:spacing w:after="120" w:before="0"/>
        <w:jc w:val="both"/>
      </w:pPr>
      <w:r>
        <w:rPr>
          <w:rFonts w:ascii="Calibri" w:hAnsi="Calibri" w:eastAsia="Calibri"/>
          <w:sz w:val="22"/>
        </w:rPr>
        <w:t>Toutes les contestations qui pourraient s’élever pendant la durée de la société ou lors de sa liquidation, soit entre les associés, soit entre la société et les associés, relativement aux affaires sociales ou à l’exécution des présents statuts, sont soumises aux juridictions compétentes du lieu du siège social.</w:t>
      </w:r>
    </w:p>
    <w:p>
      <w:pPr>
        <w:spacing w:after="120" w:before="0"/>
        <w:jc w:val="both"/>
      </w:pPr>
      <w:r>
        <w:rPr>
          <w:rFonts w:ascii="Calibri" w:hAnsi="Calibri" w:eastAsia="Calibri"/>
          <w:b/>
          <w:sz w:val="22"/>
          <w:highlight w:val="yellow"/>
        </w:rPr>
        <w:t>[Option — règlement amiable préalable]</w:t>
      </w:r>
      <w:r>
        <w:rPr>
          <w:rFonts w:ascii="Calibri" w:hAnsi="Calibri" w:eastAsia="Calibri"/>
          <w:sz w:val="22"/>
        </w:rPr>
        <w:t xml:space="preserve"> </w:t>
      </w:r>
      <w:r>
        <w:rPr>
          <w:rFonts w:ascii="Calibri" w:hAnsi="Calibri" w:eastAsia="Calibri"/>
          <w:sz w:val="22"/>
        </w:rPr>
        <w:t xml:space="preserve">Avant toute action, les parties s’efforcent de résoudre leur différend à l’amiable, le cas échéant par une médiation ; à défaut d’accord dans un délai de </w:t>
      </w:r>
      <w:r>
        <w:rPr>
          <w:rFonts w:ascii="Calibri" w:hAnsi="Calibri" w:eastAsia="Calibri"/>
          <w:sz w:val="22"/>
          <w:highlight w:val="yellow"/>
        </w:rPr>
        <w:t>[un mois]</w:t>
      </w:r>
      <w:r>
        <w:rPr>
          <w:rFonts w:ascii="Calibri" w:hAnsi="Calibri" w:eastAsia="Calibri"/>
          <w:sz w:val="22"/>
        </w:rPr>
        <w:t xml:space="preserve"> à compter de la demande écrite de l’une d’elles, la partie la plus diligente peut saisir la juridiction compétente.</w:t>
      </w:r>
    </w:p>
    <w:p>
      <w:pPr>
        <w:keepNext/>
        <w:spacing w:after="160" w:before="240"/>
        <w:jc w:val="center"/>
      </w:pPr>
      <w:r>
        <w:rPr>
          <w:rFonts w:ascii="Calibri" w:hAnsi="Calibri" w:eastAsia="Calibri"/>
          <w:b/>
          <w:sz w:val="23"/>
        </w:rPr>
        <w:t>TITRE VIII — DISPOSITIONS TRANSITOIRES ET FINALES</w:t>
      </w:r>
    </w:p>
    <w:p>
      <w:pPr>
        <w:keepNext/>
        <w:spacing w:after="80" w:before="120"/>
      </w:pPr>
      <w:r>
        <w:rPr>
          <w:rFonts w:ascii="Calibri" w:hAnsi="Calibri" w:eastAsia="Calibri"/>
          <w:b/>
          <w:sz w:val="22"/>
        </w:rPr>
        <w:t>Article 28 — Nomination du ou des premiers gérants</w:t>
      </w:r>
    </w:p>
    <w:p>
      <w:pPr>
        <w:spacing w:after="120" w:before="0"/>
        <w:jc w:val="both"/>
      </w:pPr>
      <w:r>
        <w:rPr>
          <w:rFonts w:ascii="Calibri" w:hAnsi="Calibri" w:eastAsia="Calibri"/>
          <w:sz w:val="22"/>
        </w:rPr>
        <w:t xml:space="preserve">Est nommé(e) premier gérant de la société, pour une durée </w:t>
      </w:r>
      <w:r>
        <w:rPr>
          <w:rFonts w:ascii="Calibri" w:hAnsi="Calibri" w:eastAsia="Calibri"/>
          <w:sz w:val="22"/>
          <w:highlight w:val="yellow"/>
        </w:rPr>
        <w:t>[indéterminée / de … années]</w:t>
      </w:r>
      <w:r>
        <w:rPr>
          <w:rFonts w:ascii="Calibri" w:hAnsi="Calibri" w:eastAsia="Calibri"/>
          <w:sz w:val="22"/>
        </w:rPr>
        <w:t xml:space="preserve"> : </w:t>
      </w:r>
      <w:r>
        <w:rPr>
          <w:rFonts w:ascii="Calibri" w:hAnsi="Calibri" w:eastAsia="Calibri"/>
          <w:sz w:val="22"/>
          <w:highlight w:val="yellow"/>
        </w:rPr>
        <w:t>[Prénom NOM, né(e) le … à …, de nationalité …, demeurant …]</w:t>
      </w:r>
      <w:r>
        <w:rPr>
          <w:rFonts w:ascii="Calibri" w:hAnsi="Calibri" w:eastAsia="Calibri"/>
          <w:sz w:val="22"/>
        </w:rPr>
        <w:t xml:space="preserve">. </w:t>
      </w:r>
      <w:r>
        <w:rPr>
          <w:rFonts w:ascii="Calibri" w:hAnsi="Calibri" w:eastAsia="Calibri"/>
          <w:sz w:val="22"/>
          <w:highlight w:val="yellow"/>
        </w:rPr>
        <w:t>[Ajouter, le cas échéant, le ou les cogérants.]</w:t>
      </w:r>
    </w:p>
    <w:p>
      <w:pPr>
        <w:spacing w:after="120" w:before="0"/>
        <w:jc w:val="both"/>
      </w:pPr>
      <w:r>
        <w:rPr>
          <w:rFonts w:ascii="Calibri" w:hAnsi="Calibri" w:eastAsia="Calibri"/>
          <w:sz w:val="22"/>
        </w:rPr>
        <w:t xml:space="preserve">Le gérant exerce ses fonctions </w:t>
      </w:r>
      <w:r>
        <w:rPr>
          <w:rFonts w:ascii="Calibri" w:hAnsi="Calibri" w:eastAsia="Calibri"/>
          <w:sz w:val="22"/>
          <w:highlight w:val="yellow"/>
        </w:rPr>
        <w:t>[à titre gratuit / moyennant une rémunération fixée par décision ordinaire ultérieure]</w:t>
      </w:r>
      <w:r>
        <w:rPr>
          <w:rFonts w:ascii="Calibri" w:hAnsi="Calibri" w:eastAsia="Calibri"/>
          <w:sz w:val="22"/>
        </w:rPr>
        <w:t>. Il déclare accepter ces fonctions et n’être frappé d’aucune incompatibilité, interdiction ou déchéance susceptible d’en empêcher l’exercice.</w:t>
      </w:r>
    </w:p>
    <w:p>
      <w:pPr>
        <w:keepNext/>
        <w:spacing w:after="80" w:before="120"/>
      </w:pPr>
      <w:r>
        <w:rPr>
          <w:rFonts w:ascii="Calibri" w:hAnsi="Calibri" w:eastAsia="Calibri"/>
          <w:b/>
          <w:sz w:val="22"/>
        </w:rPr>
        <w:t>Article 29 — Actes accomplis pour le compte de la société en formation</w:t>
      </w:r>
    </w:p>
    <w:p>
      <w:pPr>
        <w:spacing w:after="120" w:before="0"/>
        <w:jc w:val="both"/>
      </w:pPr>
      <w:r>
        <w:rPr>
          <w:rFonts w:ascii="Calibri" w:hAnsi="Calibri" w:eastAsia="Calibri"/>
          <w:sz w:val="22"/>
        </w:rPr>
        <w:t>Un état des actes accomplis pour le compte de la société en formation, avec l’indication, pour chacun d’eux, de l’engagement qui en résulterait pour la société, a été présenté aux associés avant la signature des présents statuts. Cet état est annexé aux statuts (annexe 1).</w:t>
      </w:r>
    </w:p>
    <w:p>
      <w:pPr>
        <w:spacing w:after="120" w:before="0"/>
        <w:jc w:val="both"/>
      </w:pPr>
      <w:r>
        <w:rPr>
          <w:rFonts w:ascii="Calibri" w:hAnsi="Calibri" w:eastAsia="Calibri"/>
          <w:sz w:val="22"/>
        </w:rPr>
        <w:t>La signature des statuts emportera reprise de ces engagements par la société lorsque celle-ci aura été immatriculée au registre du commerce et des sociétés ; ils seront alors réputés avoir été souscrits dès l’origine par la société.</w:t>
      </w:r>
    </w:p>
    <w:p>
      <w:pPr>
        <w:spacing w:after="120" w:before="0"/>
        <w:jc w:val="both"/>
      </w:pPr>
      <w:r>
        <w:rPr>
          <w:rFonts w:ascii="Calibri" w:hAnsi="Calibri" w:eastAsia="Calibri"/>
          <w:b/>
          <w:sz w:val="22"/>
          <w:highlight w:val="yellow"/>
        </w:rPr>
        <w:t>[Option — mandat]</w:t>
      </w:r>
      <w:r>
        <w:rPr>
          <w:rFonts w:ascii="Calibri" w:hAnsi="Calibri" w:eastAsia="Calibri"/>
          <w:sz w:val="22"/>
        </w:rPr>
        <w:t xml:space="preserve"> </w:t>
      </w:r>
      <w:r>
        <w:rPr>
          <w:rFonts w:ascii="Calibri" w:hAnsi="Calibri" w:eastAsia="Calibri"/>
          <w:sz w:val="22"/>
        </w:rPr>
        <w:t xml:space="preserve">Les associés donnent mandat à </w:t>
      </w:r>
      <w:r>
        <w:rPr>
          <w:rFonts w:ascii="Calibri" w:hAnsi="Calibri" w:eastAsia="Calibri"/>
          <w:sz w:val="22"/>
          <w:highlight w:val="yellow"/>
        </w:rPr>
        <w:t>[Prénom NOM, associé / Prénom NOM, gérant non associé désigné par les présents statuts]</w:t>
      </w:r>
      <w:r>
        <w:rPr>
          <w:rFonts w:ascii="Calibri" w:hAnsi="Calibri" w:eastAsia="Calibri"/>
          <w:sz w:val="22"/>
        </w:rPr>
        <w:t xml:space="preserve"> de prendre, au nom et pour le compte de la société en formation, les engagements déterminés suivants : </w:t>
      </w:r>
      <w:r>
        <w:rPr>
          <w:rFonts w:ascii="Calibri" w:hAnsi="Calibri" w:eastAsia="Calibri"/>
          <w:sz w:val="22"/>
          <w:highlight w:val="yellow"/>
        </w:rPr>
        <w:t>[nature, objet, montant maximal et modalités de chaque engagement]</w:t>
      </w:r>
      <w:r>
        <w:rPr>
          <w:rFonts w:ascii="Calibri" w:hAnsi="Calibri" w:eastAsia="Calibri"/>
          <w:sz w:val="22"/>
        </w:rPr>
        <w:t>. L’immatriculation de la société emportera reprise de ces engagements.</w:t>
      </w:r>
    </w:p>
    <w:p>
      <w:pPr>
        <w:spacing w:after="120" w:before="0"/>
        <w:jc w:val="both"/>
      </w:pPr>
      <w:r>
        <w:rPr>
          <w:rFonts w:ascii="Calibri" w:hAnsi="Calibri" w:eastAsia="Calibri"/>
          <w:sz w:val="22"/>
        </w:rPr>
        <w:t>Jusqu’à l’immatriculation, les personnes qui agissent au nom de la société en formation sont tenues solidairement et indéfiniment des actes ainsi accomplis, à moins que la société, régulièrement constituée et immatriculée, ne les reprenne.</w:t>
      </w:r>
    </w:p>
    <w:p>
      <w:pPr>
        <w:keepNext/>
        <w:spacing w:after="80" w:before="120"/>
      </w:pPr>
      <w:r>
        <w:rPr>
          <w:rFonts w:ascii="Calibri" w:hAnsi="Calibri" w:eastAsia="Calibri"/>
          <w:b/>
          <w:sz w:val="22"/>
        </w:rPr>
        <w:t>Article 30 — Personnalité morale</w:t>
      </w:r>
    </w:p>
    <w:p>
      <w:pPr>
        <w:spacing w:after="120" w:before="0"/>
        <w:jc w:val="both"/>
      </w:pPr>
      <w:r>
        <w:rPr>
          <w:rFonts w:ascii="Calibri" w:hAnsi="Calibri" w:eastAsia="Calibri"/>
          <w:sz w:val="22"/>
        </w:rPr>
        <w:t>La société jouira de la personnalité morale à compter de son immatriculation au registre du commerce et des sociétés.</w:t>
      </w:r>
    </w:p>
    <w:p>
      <w:pPr>
        <w:keepNext/>
        <w:spacing w:after="80" w:before="120"/>
      </w:pPr>
      <w:r>
        <w:rPr>
          <w:rFonts w:ascii="Calibri" w:hAnsi="Calibri" w:eastAsia="Calibri"/>
          <w:b/>
          <w:sz w:val="22"/>
        </w:rPr>
        <w:t>Article 31 — Frais</w:t>
      </w:r>
    </w:p>
    <w:p>
      <w:pPr>
        <w:spacing w:after="120" w:before="0"/>
        <w:jc w:val="both"/>
      </w:pPr>
      <w:r>
        <w:rPr>
          <w:rFonts w:ascii="Calibri" w:hAnsi="Calibri" w:eastAsia="Calibri"/>
          <w:sz w:val="22"/>
        </w:rPr>
        <w:t xml:space="preserve">Les frais, droits et honoraires afférents aux présents statuts et à leurs suites sont pris en charge par la société dès son immatriculation ; ils sont </w:t>
      </w:r>
      <w:r>
        <w:rPr>
          <w:rFonts w:ascii="Calibri" w:hAnsi="Calibri" w:eastAsia="Calibri"/>
          <w:sz w:val="22"/>
          <w:highlight w:val="yellow"/>
        </w:rPr>
        <w:t>[portés en charges / amortis]</w:t>
      </w:r>
      <w:r>
        <w:rPr>
          <w:rFonts w:ascii="Calibri" w:hAnsi="Calibri" w:eastAsia="Calibri"/>
          <w:sz w:val="22"/>
        </w:rPr>
        <w:t xml:space="preserve"> dans les conditions prévues par la réglementation comptable et fiscale.</w:t>
      </w:r>
    </w:p>
    <w:p>
      <w:pPr>
        <w:keepNext/>
        <w:spacing w:after="80" w:before="120"/>
      </w:pPr>
      <w:r>
        <w:rPr>
          <w:rFonts w:ascii="Calibri" w:hAnsi="Calibri" w:eastAsia="Calibri"/>
          <w:b/>
          <w:sz w:val="22"/>
        </w:rPr>
        <w:t>Article 32 — Formalités — Pouvoirs</w:t>
      </w:r>
    </w:p>
    <w:p>
      <w:pPr>
        <w:spacing w:after="120" w:before="0"/>
        <w:jc w:val="both"/>
      </w:pPr>
      <w:r>
        <w:rPr>
          <w:rFonts w:ascii="Calibri" w:hAnsi="Calibri" w:eastAsia="Calibri"/>
          <w:sz w:val="22"/>
        </w:rPr>
        <w:t xml:space="preserve">Tous pouvoirs sont conférés </w:t>
      </w:r>
      <w:r>
        <w:rPr>
          <w:rFonts w:ascii="Calibri" w:hAnsi="Calibri" w:eastAsia="Calibri"/>
          <w:sz w:val="22"/>
        </w:rPr>
        <w:t>au gérant</w:t>
      </w:r>
      <w:r>
        <w:rPr>
          <w:rFonts w:ascii="Calibri" w:hAnsi="Calibri" w:eastAsia="Calibri"/>
          <w:sz w:val="22"/>
        </w:rPr>
        <w:t>, ainsi qu’au porteur d’un original, d’une copie ou d’un extrait des présents statuts, pour accomplir les formalités de publicité, de dépôt et d’immatriculation, notamment par l’intermédiaire du guichet unique des formalités d’entreprises, et pour signer à cet effet tout document utile, y compris la déclaration des bénéficiaires effectifs.</w:t>
      </w:r>
    </w:p>
    <w:p>
      <w:pPr>
        <w:keepNext/>
        <w:spacing w:after="160" w:before="240"/>
        <w:jc w:val="center"/>
      </w:pPr>
      <w:r>
        <w:rPr>
          <w:rFonts w:ascii="Calibri" w:hAnsi="Calibri" w:eastAsia="Calibri"/>
          <w:b/>
          <w:sz w:val="23"/>
        </w:rPr>
        <w:t>SIGNATURES</w:t>
      </w:r>
    </w:p>
    <w:p>
      <w:pPr>
        <w:spacing w:after="200" w:before="0"/>
        <w:jc w:val="both"/>
      </w:pPr>
      <w:r>
        <w:rPr>
          <w:rFonts w:ascii="Calibri" w:hAnsi="Calibri" w:eastAsia="Calibri"/>
          <w:sz w:val="22"/>
        </w:rPr>
        <w:t xml:space="preserve">Fait à </w:t>
      </w:r>
      <w:r>
        <w:rPr>
          <w:rFonts w:ascii="Calibri" w:hAnsi="Calibri" w:eastAsia="Calibri"/>
          <w:sz w:val="22"/>
          <w:highlight w:val="yellow"/>
        </w:rPr>
        <w:t>[ville]</w:t>
      </w:r>
      <w:r>
        <w:rPr>
          <w:rFonts w:ascii="Calibri" w:hAnsi="Calibri" w:eastAsia="Calibri"/>
          <w:sz w:val="22"/>
        </w:rPr>
        <w:t xml:space="preserve">, le </w:t>
      </w:r>
      <w:r>
        <w:rPr>
          <w:rFonts w:ascii="Calibri" w:hAnsi="Calibri" w:eastAsia="Calibri"/>
          <w:sz w:val="22"/>
          <w:highlight w:val="yellow"/>
        </w:rPr>
        <w:t>[date]</w:t>
      </w:r>
      <w:r>
        <w:rPr>
          <w:rFonts w:ascii="Calibri" w:hAnsi="Calibri" w:eastAsia="Calibri"/>
          <w:sz w:val="22"/>
        </w:rPr>
        <w:t xml:space="preserve">, </w:t>
      </w:r>
      <w:r>
        <w:rPr>
          <w:rFonts w:ascii="Calibri" w:hAnsi="Calibri" w:eastAsia="Calibri"/>
          <w:sz w:val="22"/>
        </w:rPr>
        <w:t xml:space="preserve">en </w:t>
      </w:r>
      <w:r>
        <w:rPr>
          <w:rFonts w:ascii="Calibri" w:hAnsi="Calibri" w:eastAsia="Calibri"/>
          <w:sz w:val="22"/>
          <w:highlight w:val="yellow"/>
        </w:rPr>
        <w:t>[nombre]</w:t>
      </w:r>
      <w:r>
        <w:rPr>
          <w:rFonts w:ascii="Calibri" w:hAnsi="Calibri" w:eastAsia="Calibri"/>
          <w:sz w:val="22"/>
        </w:rPr>
        <w:t xml:space="preserve"> originaux, dont un pour le dépôt au siège social et les autres pour l’exécution des formalités requises ; un exemplaire des statuts sur papier libre est en outre remis à chaque associé.</w:t>
      </w:r>
    </w:p>
    <w:p>
      <w:pPr>
        <w:spacing w:after="160" w:before="0"/>
        <w:jc w:val="both"/>
      </w:pPr>
      <w:r>
        <w:rPr>
          <w:rFonts w:ascii="Calibri" w:hAnsi="Calibri" w:eastAsia="Calibri"/>
          <w:i/>
          <w:color w:val="4B5563"/>
          <w:sz w:val="22"/>
        </w:rPr>
        <w:t>Tous les associés interviennent à l’acte, en personne ou par un mandataire justifiant d’un pouvoir spécial, qui est alors annexé aux statuts.</w:t>
      </w:r>
    </w:p>
    <w:tbl>
      <w:tblPr>
        <w:tblStyle w:val="TableGrid"/>
        <w:tblW w:type="auto" w:w="0"/>
        <w:tblLayout w:type="fixed"/>
        <w:tblLook w:firstColumn="1" w:firstRow="1" w:lastColumn="0" w:lastRow="0" w:noHBand="0" w:noVBand="1" w:val="04A0"/>
      </w:tblPr>
      <w:tblGrid>
        <w:gridCol w:w="5385"/>
        <w:gridCol w:w="3911"/>
      </w:tblGrid>
      <w:tr>
        <w:tc>
          <w:tcPr>
            <w:tcW w:type="dxa" w:w="5386"/>
            <w:shd w:val="clear" w:color="auto" w:fill="E8EEF4"/>
          </w:tcPr>
          <w:p>
            <w:pPr>
              <w:spacing w:after="40" w:before="0"/>
            </w:pPr>
            <w:r>
              <w:rPr>
                <w:rFonts w:ascii="Calibri" w:hAnsi="Calibri" w:eastAsia="Calibri"/>
                <w:b/>
                <w:sz w:val="19"/>
              </w:rPr>
              <w:t>Associé (identité et, le cas échéant, qualité)</w:t>
            </w:r>
          </w:p>
        </w:tc>
        <w:tc>
          <w:tcPr>
            <w:tcW w:type="dxa" w:w="3912"/>
            <w:shd w:val="clear" w:color="auto" w:fill="E8EEF4"/>
          </w:tcPr>
          <w:p>
            <w:pPr>
              <w:spacing w:after="40" w:before="0"/>
            </w:pPr>
            <w:r>
              <w:rPr>
                <w:rFonts w:ascii="Calibri" w:hAnsi="Calibri" w:eastAsia="Calibri"/>
                <w:b/>
                <w:sz w:val="19"/>
              </w:rPr>
              <w:t>Signature</w:t>
            </w:r>
          </w:p>
        </w:tc>
      </w:tr>
      <w:tr>
        <w:tc>
          <w:tcPr>
            <w:tcW w:type="dxa" w:w="5386"/>
          </w:tcPr>
          <w:p>
            <w:pPr>
              <w:spacing w:after="40" w:before="0"/>
            </w:pPr>
            <w:r>
              <w:rPr>
                <w:rFonts w:ascii="Calibri" w:hAnsi="Calibri" w:eastAsia="Calibri"/>
                <w:sz w:val="19"/>
                <w:highlight w:val="yellow"/>
              </w:rPr>
              <w:t>[Prénom NOM]</w:t>
            </w:r>
            <w:r>
              <w:rPr>
                <w:rFonts w:ascii="Calibri" w:hAnsi="Calibri" w:eastAsia="Calibri"/>
                <w:sz w:val="19"/>
              </w:rPr>
              <w:t>, associé</w:t>
            </w:r>
          </w:p>
        </w:tc>
        <w:tc>
          <w:tcPr>
            <w:tcW w:type="dxa" w:w="3912"/>
          </w:tcPr>
          <w:p>
            <w:pPr>
              <w:spacing w:after="40" w:before="0"/>
            </w:pPr>
            <w:r>
              <w:rPr>
                <w:rFonts w:ascii="Calibri" w:hAnsi="Calibri" w:eastAsia="Calibri"/>
                <w:sz w:val="19"/>
                <w:highlight w:val="yellow"/>
              </w:rPr>
              <w:t>[signature]</w:t>
            </w:r>
          </w:p>
        </w:tc>
      </w:tr>
      <w:tr>
        <w:tc>
          <w:tcPr>
            <w:tcW w:type="dxa" w:w="5386"/>
          </w:tcPr>
          <w:p>
            <w:pPr>
              <w:spacing w:after="40" w:before="0"/>
            </w:pPr>
            <w:r>
              <w:rPr>
                <w:rFonts w:ascii="Calibri" w:hAnsi="Calibri" w:eastAsia="Calibri"/>
                <w:sz w:val="19"/>
                <w:highlight w:val="yellow"/>
              </w:rPr>
              <w:t>[Prénom NOM / dénomination représentée par …]</w:t>
            </w:r>
            <w:r>
              <w:rPr>
                <w:rFonts w:ascii="Calibri" w:hAnsi="Calibri" w:eastAsia="Calibri"/>
                <w:sz w:val="19"/>
              </w:rPr>
              <w:t>, associé</w:t>
            </w:r>
          </w:p>
        </w:tc>
        <w:tc>
          <w:tcPr>
            <w:tcW w:type="dxa" w:w="3912"/>
          </w:tcPr>
          <w:p>
            <w:pPr>
              <w:spacing w:after="40" w:before="0"/>
            </w:pPr>
            <w:r>
              <w:rPr>
                <w:rFonts w:ascii="Calibri" w:hAnsi="Calibri" w:eastAsia="Calibri"/>
                <w:sz w:val="19"/>
                <w:highlight w:val="yellow"/>
              </w:rPr>
              <w:t>[signature]</w:t>
            </w:r>
          </w:p>
        </w:tc>
      </w:tr>
      <w:tr>
        <w:tc>
          <w:tcPr>
            <w:tcW w:type="dxa" w:w="5386"/>
          </w:tcPr>
          <w:p>
            <w:pPr>
              <w:spacing w:after="40" w:before="0"/>
            </w:pPr>
            <w:r>
              <w:rPr>
                <w:rFonts w:ascii="Calibri" w:hAnsi="Calibri" w:eastAsia="Calibri"/>
                <w:sz w:val="19"/>
                <w:highlight w:val="yellow"/>
              </w:rPr>
              <w:t>[Prénom NOM]</w:t>
            </w:r>
            <w:r>
              <w:rPr>
                <w:rFonts w:ascii="Calibri" w:hAnsi="Calibri" w:eastAsia="Calibri"/>
                <w:sz w:val="19"/>
              </w:rPr>
              <w:t>, conjoint intervenant (article 1832-2 du code civil), le cas échéant</w:t>
            </w:r>
          </w:p>
        </w:tc>
        <w:tc>
          <w:tcPr>
            <w:tcW w:type="dxa" w:w="3912"/>
          </w:tcPr>
          <w:p>
            <w:pPr>
              <w:spacing w:after="40" w:before="0"/>
            </w:pPr>
            <w:r>
              <w:rPr>
                <w:rFonts w:ascii="Calibri" w:hAnsi="Calibri" w:eastAsia="Calibri"/>
                <w:sz w:val="19"/>
                <w:highlight w:val="yellow"/>
              </w:rPr>
              <w:t>[signature]</w:t>
            </w:r>
          </w:p>
        </w:tc>
      </w:tr>
      <w:tr>
        <w:tc>
          <w:tcPr>
            <w:tcW w:type="dxa" w:w="5386"/>
          </w:tcPr>
          <w:p>
            <w:pPr>
              <w:spacing w:after="40" w:before="0"/>
            </w:pPr>
            <w:r>
              <w:rPr>
                <w:rFonts w:ascii="Calibri" w:hAnsi="Calibri" w:eastAsia="Calibri"/>
                <w:sz w:val="19"/>
                <w:highlight w:val="yellow"/>
              </w:rPr>
              <w:t>[Prénom NOM]</w:t>
            </w:r>
            <w:r>
              <w:rPr>
                <w:rFonts w:ascii="Calibri" w:hAnsi="Calibri" w:eastAsia="Calibri"/>
                <w:sz w:val="19"/>
              </w:rPr>
              <w:t xml:space="preserve">, gérant nommé à l’article </w:t>
            </w:r>
            <w:r>
              <w:rPr>
                <w:rFonts w:ascii="Calibri" w:hAnsi="Calibri" w:eastAsia="Calibri"/>
                <w:sz w:val="19"/>
                <w:highlight w:val="yellow"/>
              </w:rPr>
              <w:t>[…]</w:t>
            </w:r>
          </w:p>
        </w:tc>
        <w:tc>
          <w:tcPr>
            <w:tcW w:type="dxa" w:w="3912"/>
          </w:tcPr>
          <w:p>
            <w:pPr>
              <w:spacing w:after="40" w:before="0"/>
            </w:pPr>
            <w:r>
              <w:rPr>
                <w:rFonts w:ascii="Calibri" w:hAnsi="Calibri" w:eastAsia="Calibri"/>
                <w:sz w:val="19"/>
                <w:highlight w:val="yellow"/>
              </w:rPr>
              <w:t>[signature précédée de la mention « Bon pour acceptation des fonctions de gérant »]</w:t>
            </w:r>
          </w:p>
        </w:tc>
      </w:tr>
    </w:tbl>
    <w:p>
      <w:pPr>
        <w:spacing w:after="160"/>
      </w:pPr>
    </w:p>
    <w:p>
      <w:r>
        <w:br w:type="page"/>
      </w:r>
    </w:p>
    <w:p>
      <w:pPr>
        <w:spacing w:after="80" w:before="0"/>
        <w:jc w:val="center"/>
      </w:pPr>
      <w:r>
        <w:rPr>
          <w:rFonts w:ascii="Calibri" w:hAnsi="Calibri" w:eastAsia="Calibri"/>
          <w:b/>
          <w:sz w:val="23"/>
        </w:rPr>
        <w:t>ANNEXE 1 — ÉTAT DES ACTES ACCOMPLIS POUR LE COMPTE DE LA SOCIÉTÉ EN FORMATION</w:t>
      </w:r>
    </w:p>
    <w:p>
      <w:pPr>
        <w:spacing w:after="160" w:before="0"/>
        <w:jc w:val="both"/>
      </w:pPr>
      <w:r>
        <w:rPr>
          <w:rFonts w:ascii="Calibri" w:hAnsi="Calibri" w:eastAsia="Calibri"/>
          <w:i/>
          <w:color w:val="4B5563"/>
          <w:sz w:val="22"/>
        </w:rPr>
        <w:t>À établir avant la signature des statuts et à annexer à chaque original ; si aucun acte n’a été accompli, indiquez « Néant » ou supprimez la présente annexe et l’article correspondant.</w:t>
      </w:r>
    </w:p>
    <w:tbl>
      <w:tblPr>
        <w:tblStyle w:val="TableGrid"/>
        <w:tblW w:type="auto" w:w="0"/>
        <w:tblLayout w:type="fixed"/>
        <w:tblLook w:firstColumn="1" w:firstRow="1" w:lastColumn="0" w:lastRow="0" w:noHBand="0" w:noVBand="1" w:val="04A0"/>
      </w:tblPr>
      <w:tblGrid>
        <w:gridCol w:w="1360"/>
        <w:gridCol w:w="3401"/>
        <w:gridCol w:w="1927"/>
        <w:gridCol w:w="2607"/>
      </w:tblGrid>
      <w:tr>
        <w:tc>
          <w:tcPr>
            <w:tcW w:type="dxa" w:w="1361"/>
            <w:shd w:val="clear" w:color="auto" w:fill="E8EEF4"/>
          </w:tcPr>
          <w:p>
            <w:pPr>
              <w:spacing w:after="40" w:before="0"/>
            </w:pPr>
            <w:r>
              <w:rPr>
                <w:rFonts w:ascii="Calibri" w:hAnsi="Calibri" w:eastAsia="Calibri"/>
                <w:b/>
                <w:sz w:val="19"/>
              </w:rPr>
              <w:t>Date</w:t>
            </w:r>
          </w:p>
        </w:tc>
        <w:tc>
          <w:tcPr>
            <w:tcW w:type="dxa" w:w="3402"/>
            <w:shd w:val="clear" w:color="auto" w:fill="E8EEF4"/>
          </w:tcPr>
          <w:p>
            <w:pPr>
              <w:spacing w:after="40" w:before="0"/>
            </w:pPr>
            <w:r>
              <w:rPr>
                <w:rFonts w:ascii="Calibri" w:hAnsi="Calibri" w:eastAsia="Calibri"/>
                <w:b/>
                <w:sz w:val="19"/>
              </w:rPr>
              <w:t>Nature et objet de l’acte</w:t>
            </w:r>
          </w:p>
        </w:tc>
        <w:tc>
          <w:tcPr>
            <w:tcW w:type="dxa" w:w="1928"/>
            <w:shd w:val="clear" w:color="auto" w:fill="E8EEF4"/>
          </w:tcPr>
          <w:p>
            <w:pPr>
              <w:spacing w:after="40" w:before="0"/>
            </w:pPr>
            <w:r>
              <w:rPr>
                <w:rFonts w:ascii="Calibri" w:hAnsi="Calibri" w:eastAsia="Calibri"/>
                <w:b/>
                <w:sz w:val="19"/>
              </w:rPr>
              <w:t>Cocontractant</w:t>
            </w:r>
          </w:p>
        </w:tc>
        <w:tc>
          <w:tcPr>
            <w:tcW w:type="dxa" w:w="2608"/>
            <w:shd w:val="clear" w:color="auto" w:fill="E8EEF4"/>
          </w:tcPr>
          <w:p>
            <w:pPr>
              <w:spacing w:after="40" w:before="0"/>
            </w:pPr>
            <w:r>
              <w:rPr>
                <w:rFonts w:ascii="Calibri" w:hAnsi="Calibri" w:eastAsia="Calibri"/>
                <w:b/>
                <w:sz w:val="19"/>
              </w:rPr>
              <w:t>Engagement qui en résulte pour la société</w:t>
            </w:r>
          </w:p>
        </w:tc>
      </w:tr>
      <w:tr>
        <w:tc>
          <w:tcPr>
            <w:tcW w:type="dxa" w:w="1361"/>
          </w:tcPr>
          <w:p>
            <w:pPr>
              <w:spacing w:after="40" w:before="0"/>
            </w:pPr>
            <w:r>
              <w:rPr>
                <w:rFonts w:ascii="Calibri" w:hAnsi="Calibri" w:eastAsia="Calibri"/>
                <w:sz w:val="19"/>
                <w:highlight w:val="yellow"/>
              </w:rPr>
              <w:t>[date]</w:t>
            </w:r>
          </w:p>
        </w:tc>
        <w:tc>
          <w:tcPr>
            <w:tcW w:type="dxa" w:w="3402"/>
          </w:tcPr>
          <w:p>
            <w:pPr>
              <w:spacing w:after="40" w:before="0"/>
            </w:pPr>
            <w:r>
              <w:rPr>
                <w:rFonts w:ascii="Calibri" w:hAnsi="Calibri" w:eastAsia="Calibri"/>
                <w:sz w:val="19"/>
                <w:highlight w:val="yellow"/>
              </w:rPr>
              <w:t>[ex. : ouverture du compte de dépôt des fonds auprès de …]</w:t>
            </w:r>
          </w:p>
        </w:tc>
        <w:tc>
          <w:tcPr>
            <w:tcW w:type="dxa" w:w="1928"/>
          </w:tcPr>
          <w:p>
            <w:pPr>
              <w:spacing w:after="40" w:before="0"/>
            </w:pPr>
            <w:r>
              <w:rPr>
                <w:rFonts w:ascii="Calibri" w:hAnsi="Calibri" w:eastAsia="Calibri"/>
                <w:sz w:val="19"/>
                <w:highlight w:val="yellow"/>
              </w:rPr>
              <w:t>[cocontractant]</w:t>
            </w:r>
          </w:p>
        </w:tc>
        <w:tc>
          <w:tcPr>
            <w:tcW w:type="dxa" w:w="2608"/>
          </w:tcPr>
          <w:p>
            <w:pPr>
              <w:spacing w:after="40" w:before="0"/>
            </w:pPr>
            <w:r>
              <w:rPr>
                <w:rFonts w:ascii="Calibri" w:hAnsi="Calibri" w:eastAsia="Calibri"/>
                <w:sz w:val="19"/>
                <w:highlight w:val="yellow"/>
              </w:rPr>
              <w:t>[ex. : frais de tenue de compte]</w:t>
            </w:r>
          </w:p>
        </w:tc>
      </w:tr>
      <w:tr>
        <w:tc>
          <w:tcPr>
            <w:tcW w:type="dxa" w:w="1361"/>
          </w:tcPr>
          <w:p>
            <w:pPr>
              <w:spacing w:after="40" w:before="0"/>
            </w:pPr>
            <w:r>
              <w:rPr>
                <w:rFonts w:ascii="Calibri" w:hAnsi="Calibri" w:eastAsia="Calibri"/>
                <w:sz w:val="19"/>
                <w:highlight w:val="yellow"/>
              </w:rPr>
              <w:t>[date]</w:t>
            </w:r>
          </w:p>
        </w:tc>
        <w:tc>
          <w:tcPr>
            <w:tcW w:type="dxa" w:w="3402"/>
          </w:tcPr>
          <w:p>
            <w:pPr>
              <w:spacing w:after="40" w:before="0"/>
            </w:pPr>
            <w:r>
              <w:rPr>
                <w:rFonts w:ascii="Calibri" w:hAnsi="Calibri" w:eastAsia="Calibri"/>
                <w:sz w:val="19"/>
                <w:highlight w:val="yellow"/>
              </w:rPr>
              <w:t>[ex. : bail commercial / contrat de domiciliation du …]</w:t>
            </w:r>
          </w:p>
        </w:tc>
        <w:tc>
          <w:tcPr>
            <w:tcW w:type="dxa" w:w="1928"/>
          </w:tcPr>
          <w:p>
            <w:pPr>
              <w:spacing w:after="40" w:before="0"/>
            </w:pPr>
            <w:r>
              <w:rPr>
                <w:rFonts w:ascii="Calibri" w:hAnsi="Calibri" w:eastAsia="Calibri"/>
                <w:sz w:val="19"/>
                <w:highlight w:val="yellow"/>
              </w:rPr>
              <w:t>[cocontractant]</w:t>
            </w:r>
          </w:p>
        </w:tc>
        <w:tc>
          <w:tcPr>
            <w:tcW w:type="dxa" w:w="2608"/>
          </w:tcPr>
          <w:p>
            <w:pPr>
              <w:spacing w:after="40" w:before="0"/>
            </w:pPr>
            <w:r>
              <w:rPr>
                <w:rFonts w:ascii="Calibri" w:hAnsi="Calibri" w:eastAsia="Calibri"/>
                <w:sz w:val="19"/>
                <w:highlight w:val="yellow"/>
              </w:rPr>
              <w:t>[ex. : loyer de … € par mois]</w:t>
            </w:r>
          </w:p>
        </w:tc>
      </w:tr>
      <w:tr>
        <w:tc>
          <w:tcPr>
            <w:tcW w:type="dxa" w:w="1361"/>
          </w:tcPr>
          <w:p>
            <w:pPr>
              <w:spacing w:after="40" w:before="0"/>
            </w:pPr>
            <w:r>
              <w:rPr>
                <w:rFonts w:ascii="Calibri" w:hAnsi="Calibri" w:eastAsia="Calibri"/>
                <w:sz w:val="19"/>
                <w:highlight w:val="yellow"/>
              </w:rPr>
              <w:t>[date]</w:t>
            </w:r>
          </w:p>
        </w:tc>
        <w:tc>
          <w:tcPr>
            <w:tcW w:type="dxa" w:w="3402"/>
          </w:tcPr>
          <w:p>
            <w:pPr>
              <w:spacing w:after="40" w:before="0"/>
            </w:pPr>
            <w:r>
              <w:rPr>
                <w:rFonts w:ascii="Calibri" w:hAnsi="Calibri" w:eastAsia="Calibri"/>
                <w:sz w:val="19"/>
                <w:highlight w:val="yellow"/>
              </w:rPr>
              <w:t>[ex. : commande de matériel, réservation d’un nom de domaine…]</w:t>
            </w:r>
          </w:p>
        </w:tc>
        <w:tc>
          <w:tcPr>
            <w:tcW w:type="dxa" w:w="1928"/>
          </w:tcPr>
          <w:p>
            <w:pPr>
              <w:spacing w:after="40" w:before="0"/>
            </w:pPr>
            <w:r>
              <w:rPr>
                <w:rFonts w:ascii="Calibri" w:hAnsi="Calibri" w:eastAsia="Calibri"/>
                <w:sz w:val="19"/>
                <w:highlight w:val="yellow"/>
              </w:rPr>
              <w:t>[cocontractant]</w:t>
            </w:r>
          </w:p>
        </w:tc>
        <w:tc>
          <w:tcPr>
            <w:tcW w:type="dxa" w:w="2608"/>
          </w:tcPr>
          <w:p>
            <w:pPr>
              <w:spacing w:after="40" w:before="0"/>
            </w:pPr>
            <w:r>
              <w:rPr>
                <w:rFonts w:ascii="Calibri" w:hAnsi="Calibri" w:eastAsia="Calibri"/>
                <w:sz w:val="19"/>
                <w:highlight w:val="yellow"/>
              </w:rPr>
              <w:t>[ex. : prix de … € TTC]</w:t>
            </w:r>
          </w:p>
        </w:tc>
      </w:tr>
    </w:tbl>
    <w:p>
      <w:pPr>
        <w:spacing w:after="160"/>
      </w:pPr>
    </w:p>
    <w:p>
      <w:pPr>
        <w:spacing w:after="80" w:before="0"/>
      </w:pPr>
      <w:r>
        <w:rPr>
          <w:rFonts w:ascii="Calibri" w:hAnsi="Calibri" w:eastAsia="Calibri"/>
          <w:sz w:val="22"/>
        </w:rPr>
        <w:t xml:space="preserve">Certifié exact par les soussignés, le </w:t>
      </w:r>
      <w:r>
        <w:rPr>
          <w:rFonts w:ascii="Calibri" w:hAnsi="Calibri" w:eastAsia="Calibri"/>
          <w:sz w:val="22"/>
          <w:highlight w:val="yellow"/>
        </w:rPr>
        <w:t>[date]</w:t>
      </w:r>
      <w:r>
        <w:rPr>
          <w:rFonts w:ascii="Calibri" w:hAnsi="Calibri" w:eastAsia="Calibri"/>
          <w:sz w:val="22"/>
        </w:rPr>
        <w:t>.</w:t>
      </w:r>
    </w:p>
    <w:p>
      <w:pPr>
        <w:spacing w:after="240" w:before="0"/>
      </w:pPr>
      <w:r>
        <w:rPr>
          <w:rFonts w:ascii="Calibri" w:hAnsi="Calibri" w:eastAsia="Calibri"/>
          <w:sz w:val="22"/>
          <w:highlight w:val="yellow"/>
        </w:rPr>
        <w:t>[Signatures de tous les associés]</w:t>
      </w:r>
    </w:p>
    <w:p>
      <w:pPr>
        <w:spacing w:after="80" w:before="0"/>
        <w:jc w:val="both"/>
      </w:pPr>
      <w:r>
        <w:rPr>
          <w:rFonts w:ascii="Calibri" w:hAnsi="Calibri" w:eastAsia="Calibri"/>
          <w:b/>
          <w:sz w:val="22"/>
        </w:rPr>
        <w:t xml:space="preserve">Annexe 2 (le cas échéant) — </w:t>
      </w:r>
      <w:r>
        <w:rPr>
          <w:rFonts w:ascii="Calibri" w:hAnsi="Calibri" w:eastAsia="Calibri"/>
          <w:sz w:val="22"/>
        </w:rPr>
        <w:t>Rapport du commissaire aux apports sur l’évaluation des apports en nature.</w:t>
      </w:r>
    </w:p>
    <w:p>
      <w:r>
        <w:br w:type="page"/>
      </w:r>
    </w:p>
    <w:p>
      <w:pPr>
        <w:spacing w:after="80" w:before="0"/>
      </w:pPr>
      <w:r>
        <w:rPr>
          <w:rFonts w:ascii="Calibri" w:hAnsi="Calibri" w:eastAsia="Calibri"/>
          <w:b/>
          <w:sz w:val="26"/>
        </w:rPr>
        <w:t>Notes pratiques — à supprimer avant utilisation</w:t>
      </w:r>
    </w:p>
    <w:p>
      <w:pPr>
        <w:spacing w:after="120"/>
      </w:pPr>
    </w:p>
    <w:p>
      <w:pPr>
        <w:spacing w:after="100" w:before="0"/>
        <w:jc w:val="both"/>
      </w:pPr>
      <w:r>
        <w:rPr>
          <w:rFonts w:ascii="Calibri" w:hAnsi="Calibri" w:eastAsia="Calibri"/>
          <w:color w:val="374151"/>
          <w:sz w:val="20"/>
        </w:rPr>
        <w:t>• Ce modèle vise une SARL d’au moins deux associés en cours de constitution ; les règles de quorum et de majorité retenues sont celles des SARL constituées après le 2 août 2005 (C. com., art. L. 223-30). Pour une société à associé unique, utilisez le modèle de statuts d’EURL disponible sur la même page.</w:t>
      </w:r>
    </w:p>
    <w:p>
      <w:pPr>
        <w:spacing w:after="100" w:before="0"/>
        <w:jc w:val="both"/>
      </w:pPr>
      <w:r>
        <w:rPr>
          <w:rFonts w:ascii="Calibri" w:hAnsi="Calibri" w:eastAsia="Calibri"/>
          <w:color w:val="374151"/>
          <w:sz w:val="20"/>
        </w:rPr>
        <w:t>• Mentions obligatoires : forme, durée (99 ans au plus), dénomination, siège, objet, capital (C. com., art. L. 210-2 ; C. civ., art. 1835), apports de chaque associé, répartition des parts (C. com., art. L. 223-7), libération des parts et dépôt des fonds (C. com., art. R. 223-3), évaluation de chaque apport en nature (C. com., art. L. 223-9).</w:t>
      </w:r>
    </w:p>
    <w:p>
      <w:pPr>
        <w:spacing w:after="100" w:before="0"/>
        <w:jc w:val="both"/>
      </w:pPr>
      <w:r>
        <w:rPr>
          <w:rFonts w:ascii="Calibri" w:hAnsi="Calibri" w:eastAsia="Calibri"/>
          <w:color w:val="374151"/>
          <w:sz w:val="20"/>
        </w:rPr>
        <w:t>• Capital : aucun minimum légal. Les parts souscrites en numéraire sont libérées d’un cinquième au moins à la constitution, le surplus dans les cinq ans de l’immatriculation, sur décision du gérant (C. com., art. L. 223-7). Les fonds sont déposés dans les huit jours de leur réception auprès d’une banque ou d’un notaire (la Caisse des dépôts n’en reçoit plus depuis le 1er juin 2021) ; si la société n’est pas immatriculée dans les six mois du premier dépôt, les apporteurs peuvent demander en justice le retrait de leurs fonds (C. com., art. L. 223-8).</w:t>
      </w:r>
    </w:p>
    <w:p>
      <w:pPr>
        <w:spacing w:after="100" w:before="0"/>
        <w:jc w:val="both"/>
      </w:pPr>
      <w:r>
        <w:rPr>
          <w:rFonts w:ascii="Calibri" w:hAnsi="Calibri" w:eastAsia="Calibri"/>
          <w:color w:val="374151"/>
          <w:sz w:val="20"/>
        </w:rPr>
        <w:t>• Commissaire aux apports : la dispense, décidée à l’unanimité, n’est possible que si aucun apport en nature n’excède 30 000 € et si leur valeur totale non évaluée n’excède pas la moitié du capital (C. com., art. L. 223-9 et D. 223-6-1).</w:t>
      </w:r>
    </w:p>
    <w:p>
      <w:pPr>
        <w:spacing w:after="100" w:before="0"/>
        <w:jc w:val="both"/>
      </w:pPr>
      <w:r>
        <w:rPr>
          <w:rFonts w:ascii="Calibri" w:hAnsi="Calibri" w:eastAsia="Calibri"/>
          <w:color w:val="374151"/>
          <w:sz w:val="20"/>
        </w:rPr>
        <w:t>• Associé marié sous un régime de communauté : il ne peut employer des biens communs pour un apport sans que son conjoint en ait été averti et sans qu’il en soit justifié dans l’acte ; le conjoint peut revendiquer la qualité d’associé pour la moitié des parts (C. civ., art. 1832-2). Faites intervenir le conjoint à l’acte (article « Apports » et bloc de signatures).</w:t>
      </w:r>
    </w:p>
    <w:p>
      <w:pPr>
        <w:spacing w:after="100" w:before="0"/>
        <w:jc w:val="both"/>
      </w:pPr>
      <w:r>
        <w:rPr>
          <w:rFonts w:ascii="Calibri" w:hAnsi="Calibri" w:eastAsia="Calibri"/>
          <w:color w:val="374151"/>
          <w:sz w:val="20"/>
        </w:rPr>
        <w:t>• La gérance est obligatoirement confiée à une ou plusieurs personnes physiques (C. com., art. L. 223-18). Le gérant majoritaire, ou le collège de gérance majoritaire (plus de la moitié des parts, en comptant celles du conjoint, du partenaire de PACS et des enfants mineurs), relève du régime des travailleurs indépendants ; le gérant minoritaire ou égalitaire, rémunéré, est assimilé salarié (CSS, art. L. 311-3, 11° ; urssaf.fr).</w:t>
      </w:r>
    </w:p>
    <w:p>
      <w:pPr>
        <w:spacing w:after="100" w:before="0"/>
        <w:jc w:val="both"/>
      </w:pPr>
      <w:r>
        <w:rPr>
          <w:rFonts w:ascii="Calibri" w:hAnsi="Calibri" w:eastAsia="Calibri"/>
          <w:color w:val="374151"/>
          <w:sz w:val="20"/>
        </w:rPr>
        <w:t>• Les règles d’agrément des cessions à des tiers sont d’ordre public : une majorité plus forte peut être prévue, mais toute clause contraire à l’article L. 223-14 du code de commerce est réputée non écrite. Si les statuts limitent les cessions entre associés (variante B), cet article s’applique aussi à ces cessions, les statuts pouvant seulement réduire la majorité ou abréger les délais (art. L. 223-16) ; de même, l’agrément du conjoint, d’un héritier, d’un ascendant ou d’un descendant ne peut être soumis à des délais plus longs ni à une majorité plus forte que ceux de l’article L. 223-14, à peine de nullité de la clause (art. L. 223-13). La cession est soumise à un droit d’enregistrement de 3 % après un abattement par part égal à 23 000 € divisé par le nombre total de parts (CGI, art. 726) ; l’acte est enregistré dans le mois. Si la société est à prépondérance immobilière, la cession doit, depuis le 27 juin 2026 et à peine de nullité, être constatée par acte authentique, par acte contresigné par avocat ou par un autre acte admis par l’article 1865-1 du code civil ; le droit d’enregistrement est alors de 5 % (CGI, art. 726).</w:t>
      </w:r>
    </w:p>
    <w:p>
      <w:pPr>
        <w:spacing w:after="100" w:before="0"/>
        <w:jc w:val="both"/>
      </w:pPr>
      <w:r>
        <w:rPr>
          <w:rFonts w:ascii="Calibri" w:hAnsi="Calibri" w:eastAsia="Calibri"/>
          <w:color w:val="374151"/>
          <w:sz w:val="20"/>
        </w:rPr>
        <w:t>• Majorités : la nomination et la révocation des gérants ainsi que la ratification du transfert de siège décidé par la gérance obéissent aux conditions de l’article L. 223-29 (plus de la moitié des parts, puis, sauf clause contraire, majorité des votes émis sur seconde consultation) ; les statuts peuvent prévoir une majorité plus forte pour la révocation (C. com., art. L. 223-18 et L. 223-25). Le modèle renvoie pour ces décisions au tableau de l’article « Majorités » : si vous excluez la seconde consultation, faites-le dans ce tableau.</w:t>
      </w:r>
    </w:p>
    <w:p>
      <w:pPr>
        <w:spacing w:after="100" w:before="0"/>
        <w:jc w:val="both"/>
      </w:pPr>
      <w:r>
        <w:rPr>
          <w:rFonts w:ascii="Calibri" w:hAnsi="Calibri" w:eastAsia="Calibri"/>
          <w:color w:val="374151"/>
          <w:sz w:val="20"/>
        </w:rPr>
        <w:t>• Société en formation : le mandat de prendre des engagements dont l’immatriculation emporte reprise par la société peut être donné à un ou plusieurs associés ou au gérant non associé désigné (C. com., art. R. 210-5).</w:t>
      </w:r>
    </w:p>
    <w:p>
      <w:pPr>
        <w:spacing w:after="100" w:before="0"/>
        <w:jc w:val="both"/>
      </w:pPr>
      <w:r>
        <w:rPr>
          <w:rFonts w:ascii="Calibri" w:hAnsi="Calibri" w:eastAsia="Calibri"/>
          <w:color w:val="374151"/>
          <w:sz w:val="20"/>
        </w:rPr>
        <w:t>• Décisions : l’approbation annuelle des comptes a toujours lieu en assemblée (C. com., art. L. 223-26) ; les autres décisions peuvent être prises par consultation écrite ou par acte unanime si les statuts le prévoient (art. L. 223-27). Convocation par lettre recommandée quinze jours au moins avant l’assemblée (C. com., art. R. 223-20).</w:t>
      </w:r>
    </w:p>
    <w:p>
      <w:pPr>
        <w:spacing w:after="100" w:before="0"/>
        <w:jc w:val="both"/>
      </w:pPr>
      <w:r>
        <w:rPr>
          <w:rFonts w:ascii="Calibri" w:hAnsi="Calibri" w:eastAsia="Calibri"/>
          <w:color w:val="374151"/>
          <w:sz w:val="20"/>
        </w:rPr>
        <w:t>• Commissaire aux comptes obligatoire au-delà de deux des trois seuils suivants à la clôture : 5 000 000 € de total du bilan, 10 000 000 € de chiffre d’affaires hors taxes, 50 salariés en moyenne (C. com., art. L. 223-35 et D. 221-5).</w:t>
      </w:r>
    </w:p>
    <w:p>
      <w:pPr>
        <w:spacing w:after="100" w:before="0"/>
        <w:jc w:val="both"/>
      </w:pPr>
      <w:r>
        <w:rPr>
          <w:rFonts w:ascii="Calibri" w:hAnsi="Calibri" w:eastAsia="Calibri"/>
          <w:color w:val="374151"/>
          <w:sz w:val="20"/>
        </w:rPr>
        <w:t>• Fiscalité : la SARL relève en principe de l’impôt sur les sociétés ; une SARL de famille peut opter, à l’unanimité, pour le régime des sociétés de personnes (CGI, art. 239 bis AA), et une option temporaire existe sous conditions pour les jeunes sociétés (CGI, art. 239 bis AB).</w:t>
      </w:r>
    </w:p>
    <w:p>
      <w:pPr>
        <w:spacing w:after="100" w:before="0"/>
        <w:jc w:val="both"/>
      </w:pPr>
      <w:r>
        <w:rPr>
          <w:rFonts w:ascii="Calibri" w:hAnsi="Calibri" w:eastAsia="Calibri"/>
          <w:color w:val="374151"/>
          <w:sz w:val="20"/>
        </w:rPr>
        <w:t>• Formalités : dépôt des fonds ; signature des statuts ; avis de constitution dans un support habilité du département du siège (forfait 2026 pour une SARL en métropole : 148 € HT) ; dossier d’immatriculation sur formalites.entreprises.gouv.fr avec les statuts, le certificat du dépositaire, le justificatif du siège, les pièces du gérant et la déclaration des bénéficiaires effectifs. Depuis le 6 mai 2026, les statuts peuvent être déposés sous forme d’une copie limitant les informations d’identité et de domicile (C. com., art. R. 123-102-1).</w:t>
      </w:r>
    </w:p>
    <w:p>
      <w:pPr>
        <w:spacing w:after="100" w:before="0"/>
        <w:jc w:val="both"/>
      </w:pPr>
      <w:r>
        <w:rPr>
          <w:rFonts w:ascii="Calibri" w:hAnsi="Calibri" w:eastAsia="Calibri"/>
          <w:color w:val="374151"/>
          <w:sz w:val="20"/>
        </w:rPr>
        <w:t>• Comptes annuels : dépôt au greffe dans le mois de l’approbation, ou dans les deux mois en cas de dépôt électronique (C. com., art. L. 232-22). Siège en Alsace-Moselle : registre tenu par le greffe du tribunal judiciaire ; contentieux commercial devant la chambre commerciale du tribunal judiciaire.</w:t>
      </w:r>
    </w:p>
    <w:p>
      <w:pPr>
        <w:spacing w:after="100" w:before="0"/>
        <w:jc w:val="both"/>
      </w:pPr>
      <w:r>
        <w:rPr>
          <w:rFonts w:ascii="Calibri" w:hAnsi="Calibri" w:eastAsia="Calibri"/>
          <w:color w:val="374151"/>
          <w:sz w:val="20"/>
        </w:rPr>
        <w:t>• Supprimez l’en-tête « Modèle fourni à titre informatif… », les surlignages, les variantes et options non retenues et la présente page avant signature ; renumérotez les articles et vérifiez les renvois internes.</w:t>
      </w:r>
    </w:p>
    <w:p>
      <w:pPr>
        <w:spacing w:after="100" w:before="0"/>
        <w:jc w:val="both"/>
      </w:pPr>
      <w:r>
        <w:rPr>
          <w:rFonts w:ascii="Calibri" w:hAnsi="Calibri" w:eastAsia="Calibri"/>
          <w:color w:val="374151"/>
          <w:sz w:val="20"/>
        </w:rPr>
        <w:t>• Ce modèle est une base de travail : faites relire les statuts par un avocat avant signature et avant toute formalité, en particulier en présence d’apports en nature, de clauses d’agrément ou d’exclusion, d’associés mariés sous un régime de communauté ou d’enjeux patrimoniaux.</w:t>
      </w:r>
    </w:p>
    <w:sectPr w:rsidR="00FC693F" w:rsidRPr="0006063C" w:rsidSect="00034616">
      <w:headerReference w:type="default" r:id="rId9"/>
      <w:footerReference w:type="default" r:id="rId10"/>
      <w:pgSz w:w="12240" w:h="15840"/>
      <w:pgMar w:top="1247"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eastAsia="Calibri"/>
        <w:color w:val="9AA5B1"/>
        <w:sz w:val="16"/>
      </w:rPr>
      <w:t>Modèle — Cabinet Gasimov, avocat à Strasbourg · www.avocat-gasimov.fr</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
      <w:rPr>
        <w:rFonts w:ascii="Calibri" w:hAnsi="Calibri" w:eastAsia="Calibri"/>
        <w:i/>
        <w:color w:val="6B7280"/>
        <w:sz w:val="17"/>
      </w:rPr>
      <w:t>Modèle fourni à titre informatif — à adapter à votre situation ; ne remplace pas un conseil personnalisé. Cabinet Gasimov</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Statuts de SARL à plusieurs associés</dc:title>
  <dc:subject/>
  <dc:creator>Cabinet Gasimov</dc:creator>
  <cp:keywords/>
  <dc:description>generated by python-docx</dc:description>
  <cp:lastModifiedBy/>
  <cp:revision>1</cp:revision>
  <dcterms:created xsi:type="dcterms:W3CDTF">2013-12-23T23:15:00Z</dcterms:created>
  <dcterms:modified xsi:type="dcterms:W3CDTF">2013-12-23T23:15:00Z</dcterms:modified>
  <cp:category/>
</cp:coreProperties>
</file>