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highlight w:val="yellow"/>
        </w:rPr>
        <w:t>[DÉNOMINATION SOCIALE]</w:t>
      </w:r>
    </w:p>
    <w:p>
      <w:pPr>
        <w:spacing w:after="40" w:before="0"/>
        <w:jc w:val="center"/>
      </w:pPr>
      <w:r>
        <w:rPr>
          <w:rFonts w:ascii="Calibri" w:hAnsi="Calibri" w:eastAsia="Calibri"/>
          <w:sz w:val="22"/>
        </w:rPr>
        <w:t xml:space="preserve">Société à responsabilité limitée à associé unique au capital de </w:t>
      </w:r>
      <w:r>
        <w:rPr>
          <w:rFonts w:ascii="Calibri" w:hAnsi="Calibri" w:eastAsia="Calibri"/>
          <w:sz w:val="22"/>
          <w:highlight w:val="yellow"/>
        </w:rPr>
        <w:t>[montant]</w:t>
      </w:r>
      <w:r>
        <w:rPr>
          <w:rFonts w:ascii="Calibri" w:hAnsi="Calibri" w:eastAsia="Calibri"/>
          <w:sz w:val="22"/>
        </w:rPr>
        <w:t xml:space="preserve"> euros</w:t>
      </w:r>
    </w:p>
    <w:p>
      <w:pPr>
        <w:spacing w:after="320" w:before="0"/>
        <w:jc w:val="center"/>
      </w:pPr>
      <w:r>
        <w:rPr>
          <w:rFonts w:ascii="Calibri" w:hAnsi="Calibri" w:eastAsia="Calibri"/>
          <w:sz w:val="22"/>
        </w:rPr>
        <w:t xml:space="preserve">Siège social : </w:t>
      </w:r>
      <w:r>
        <w:rPr>
          <w:rFonts w:ascii="Calibri" w:hAnsi="Calibri" w:eastAsia="Calibri"/>
          <w:sz w:val="22"/>
          <w:highlight w:val="yellow"/>
        </w:rPr>
        <w:t>[adresse complète]</w:t>
      </w:r>
    </w:p>
    <w:p>
      <w:pPr>
        <w:spacing w:after="40" w:before="0"/>
        <w:jc w:val="center"/>
      </w:pPr>
      <w:r>
        <w:rPr>
          <w:rFonts w:ascii="Calibri" w:hAnsi="Calibri" w:eastAsia="Calibri"/>
          <w:b/>
          <w:sz w:val="32"/>
        </w:rPr>
        <w:t>STATUTS</w:t>
      </w:r>
    </w:p>
    <w:p>
      <w:pPr>
        <w:spacing w:after="280" w:before="0"/>
        <w:jc w:val="center"/>
      </w:pPr>
      <w:r>
        <w:rPr>
          <w:rFonts w:ascii="Calibri" w:hAnsi="Calibri" w:eastAsia="Calibri"/>
          <w:i/>
          <w:sz w:val="22"/>
        </w:rPr>
        <w:t xml:space="preserve">Établis le </w:t>
      </w:r>
      <w:r>
        <w:rPr>
          <w:rFonts w:ascii="Calibri" w:hAnsi="Calibri" w:eastAsia="Calibri"/>
          <w:sz w:val="22"/>
          <w:highlight w:val="yellow"/>
        </w:rPr>
        <w:t>[date de signature]</w:t>
      </w:r>
      <w:r>
        <w:rPr>
          <w:rFonts w:ascii="Calibri" w:hAnsi="Calibri" w:eastAsia="Calibri"/>
          <w:i/>
          <w:sz w:val="22"/>
        </w:rPr>
        <w:t xml:space="preserve"> — </w:t>
      </w:r>
      <w:r>
        <w:rPr>
          <w:rFonts w:ascii="Calibri" w:hAnsi="Calibri" w:eastAsia="Calibri"/>
          <w:sz w:val="22"/>
          <w:highlight w:val="yellow"/>
        </w:rPr>
        <w:t>[mis à jour le …, le cas échéant]</w:t>
      </w:r>
    </w:p>
    <w:p>
      <w:pPr>
        <w:spacing w:after="280" w:before="0"/>
        <w:jc w:val="both"/>
      </w:pPr>
      <w:r>
        <w:rPr>
          <w:rFonts w:ascii="Calibri" w:hAnsi="Calibri" w:eastAsia="Calibri"/>
          <w:b/>
          <w:sz w:val="22"/>
        </w:rPr>
        <w:t xml:space="preserve">Mode d’emploi. </w:t>
      </w:r>
      <w:r>
        <w:rPr>
          <w:rFonts w:ascii="Calibri" w:hAnsi="Calibri" w:eastAsia="Calibri"/>
          <w:i/>
          <w:color w:val="4B5563"/>
          <w:sz w:val="22"/>
        </w:rPr>
        <w:t xml:space="preserve">Base de travail à adapter et à faire relire avant toute signature. Les passages surlignés sont à compléter ; les crochets séparés par « / » proposent des variantes, dont une seule doit être conservée ; les paragraphes marqués « Option » peuvent être supprimés (renumérotez alors les articles). </w:t>
      </w:r>
      <w:r>
        <w:rPr>
          <w:rFonts w:ascii="Calibri" w:hAnsi="Calibri" w:eastAsia="Calibri"/>
          <w:i/>
          <w:color w:val="4B5563"/>
          <w:sz w:val="22"/>
        </w:rPr>
        <w:t xml:space="preserve">Le modèle couvre les deux situations : associé unique gérant, ou gérant distinct de l’associé unique. </w:t>
      </w:r>
      <w:r>
        <w:rPr>
          <w:rFonts w:ascii="Calibri" w:hAnsi="Calibri" w:eastAsia="Calibri"/>
          <w:i/>
          <w:color w:val="4B5563"/>
          <w:sz w:val="22"/>
        </w:rPr>
        <w:t>Les notes pratiques de la dernière page rappellent les règles à respecter et les formalités : supprimez-les avant signature.</w:t>
      </w:r>
    </w:p>
    <w:p>
      <w:pPr>
        <w:spacing w:after="120" w:before="0"/>
      </w:pPr>
      <w:r>
        <w:rPr>
          <w:rFonts w:ascii="Calibri" w:hAnsi="Calibri" w:eastAsia="Calibri"/>
          <w:b/>
          <w:sz w:val="22"/>
        </w:rPr>
        <w:t>LE SOUSSIGNÉ :</w:t>
      </w:r>
    </w:p>
    <w:p>
      <w:pPr>
        <w:spacing w:after="80" w:before="0"/>
        <w:jc w:val="both"/>
      </w:pPr>
      <w:r>
        <w:rPr>
          <w:rFonts w:ascii="Calibri" w:hAnsi="Calibri" w:eastAsia="Calibri"/>
          <w:b/>
          <w:sz w:val="22"/>
          <w:highlight w:val="yellow"/>
        </w:rPr>
        <w:t>[Variante A — personne physique]</w:t>
      </w:r>
      <w:r>
        <w:rPr>
          <w:rFonts w:ascii="Calibri" w:hAnsi="Calibri" w:eastAsia="Calibri"/>
          <w:sz w:val="22"/>
        </w:rPr>
        <w:t xml:space="preserve"> </w:t>
      </w:r>
      <w:r>
        <w:rPr>
          <w:rFonts w:ascii="Calibri" w:hAnsi="Calibri" w:eastAsia="Calibri"/>
          <w:sz w:val="22"/>
          <w:highlight w:val="yellow"/>
        </w:rPr>
        <w:t>[Madame / Monsieur] [Prénom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demeurant </w:t>
      </w:r>
      <w:r>
        <w:rPr>
          <w:rFonts w:ascii="Calibri" w:hAnsi="Calibri" w:eastAsia="Calibri"/>
          <w:sz w:val="22"/>
          <w:highlight w:val="yellow"/>
        </w:rPr>
        <w:t>[adresse complète]</w:t>
      </w:r>
      <w:r>
        <w:rPr>
          <w:rFonts w:ascii="Calibri" w:hAnsi="Calibri" w:eastAsia="Calibri"/>
          <w:sz w:val="22"/>
        </w:rPr>
        <w:t xml:space="preserve">, </w:t>
      </w:r>
      <w:r>
        <w:rPr>
          <w:rFonts w:ascii="Calibri" w:hAnsi="Calibri" w:eastAsia="Calibri"/>
          <w:sz w:val="22"/>
          <w:highlight w:val="yellow"/>
        </w:rPr>
        <w:t>[célibataire / marié(e) le … à … sous le régime de … / lié(e) par un pacte civil de solidarité]</w:t>
      </w:r>
      <w:r>
        <w:rPr>
          <w:rFonts w:ascii="Calibri" w:hAnsi="Calibri" w:eastAsia="Calibri"/>
          <w:sz w:val="22"/>
        </w:rPr>
        <w:t xml:space="preserve"> ;</w:t>
      </w:r>
    </w:p>
    <w:p>
      <w:pPr>
        <w:spacing w:after="80" w:before="0"/>
        <w:jc w:val="both"/>
      </w:pPr>
      <w:r>
        <w:rPr>
          <w:rFonts w:ascii="Calibri" w:hAnsi="Calibri" w:eastAsia="Calibri"/>
          <w:b/>
          <w:sz w:val="22"/>
          <w:highlight w:val="yellow"/>
        </w:rPr>
        <w:t>[Variante B — personne morale]</w:t>
      </w:r>
      <w:r>
        <w:rPr>
          <w:rFonts w:ascii="Calibri" w:hAnsi="Calibri" w:eastAsia="Calibri"/>
          <w:sz w:val="22"/>
        </w:rPr>
        <w:t xml:space="preserve"> 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[forme]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dont le siège est situé </w:t>
      </w:r>
      <w:r>
        <w:rPr>
          <w:rFonts w:ascii="Calibri" w:hAnsi="Calibri" w:eastAsia="Calibri"/>
          <w:sz w:val="22"/>
          <w:highlight w:val="yellow"/>
        </w:rPr>
        <w:t>[adresse]</w:t>
      </w:r>
      <w:r>
        <w:rPr>
          <w:rFonts w:ascii="Calibri" w:hAnsi="Calibri" w:eastAsia="Calibri"/>
          <w:sz w:val="22"/>
        </w:rPr>
        <w:t xml:space="preserve">, immatriculée au registre du commerce et des sociétés de </w:t>
      </w:r>
      <w:r>
        <w:rPr>
          <w:rFonts w:ascii="Calibri" w:hAnsi="Calibri" w:eastAsia="Calibri"/>
          <w:sz w:val="22"/>
          <w:highlight w:val="yellow"/>
        </w:rPr>
        <w:t>[ville]</w:t>
      </w:r>
      <w:r>
        <w:rPr>
          <w:rFonts w:ascii="Calibri" w:hAnsi="Calibri" w:eastAsia="Calibri"/>
          <w:sz w:val="22"/>
        </w:rPr>
        <w:t xml:space="preserve"> sous le numéro </w:t>
      </w:r>
      <w:r>
        <w:rPr>
          <w:rFonts w:ascii="Calibri" w:hAnsi="Calibri" w:eastAsia="Calibri"/>
          <w:sz w:val="22"/>
          <w:highlight w:val="yellow"/>
        </w:rPr>
        <w:t>[SIREN]</w:t>
      </w:r>
      <w:r>
        <w:rPr>
          <w:rFonts w:ascii="Calibri" w:hAnsi="Calibri" w:eastAsia="Calibri"/>
          <w:sz w:val="22"/>
        </w:rPr>
        <w:t xml:space="preserve">, représentée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[qualité]</w:t>
      </w:r>
      <w:r>
        <w:rPr>
          <w:rFonts w:ascii="Calibri" w:hAnsi="Calibri" w:eastAsia="Calibri"/>
          <w:sz w:val="22"/>
        </w:rPr>
        <w:t xml:space="preserve"> ;</w:t>
      </w:r>
    </w:p>
    <w:p>
      <w:pPr>
        <w:spacing w:after="80" w:before="0"/>
        <w:jc w:val="both"/>
      </w:pPr>
      <w:r>
        <w:rPr>
          <w:rFonts w:ascii="Calibri" w:hAnsi="Calibri" w:eastAsia="Calibri"/>
          <w:sz w:val="22"/>
        </w:rPr>
        <w:t>ci-après dénommé(e) « l’Associé unique »,</w:t>
      </w:r>
    </w:p>
    <w:p>
      <w:pPr>
        <w:spacing w:after="160" w:before="0"/>
        <w:jc w:val="both"/>
      </w:pPr>
      <w:r>
        <w:rPr>
          <w:rFonts w:ascii="Calibri" w:hAnsi="Calibri" w:eastAsia="Calibri"/>
          <w:sz w:val="22"/>
        </w:rPr>
        <w:t>a établi ainsi qu’il suit les statuts de la société à responsabilité limitée qu’il a décidé de constituer.</w:t>
      </w:r>
    </w:p>
    <w:p>
      <w:pPr>
        <w:keepNext/>
        <w:spacing w:after="160" w:before="240"/>
        <w:jc w:val="center"/>
      </w:pPr>
      <w:r>
        <w:rPr>
          <w:rFonts w:ascii="Calibri" w:hAnsi="Calibri" w:eastAsia="Calibri"/>
          <w:b/>
          <w:sz w:val="23"/>
        </w:rPr>
        <w:t>TITRE I — FORME — OBJET — DÉNOMINATION — SIÈGE — DURÉE</w:t>
      </w:r>
    </w:p>
    <w:p>
      <w:pPr>
        <w:keepNext/>
        <w:spacing w:after="80" w:before="120"/>
      </w:pPr>
      <w:r>
        <w:rPr>
          <w:rFonts w:ascii="Calibri" w:hAnsi="Calibri" w:eastAsia="Calibri"/>
          <w:b/>
          <w:sz w:val="22"/>
        </w:rPr>
        <w:t>Article 1 — Forme</w:t>
      </w:r>
    </w:p>
    <w:p>
      <w:pPr>
        <w:spacing w:after="120" w:before="0"/>
        <w:jc w:val="both"/>
      </w:pPr>
      <w:r>
        <w:rPr>
          <w:rFonts w:ascii="Calibri" w:hAnsi="Calibri" w:eastAsia="Calibri"/>
          <w:sz w:val="22"/>
        </w:rPr>
        <w:t>Il est formé une société à responsabilité limitée régie par les articles L. 223-1 et suivants du code de commerce, par les autres dispositions légales et réglementaires en vigueur et par les présents statuts.</w:t>
      </w:r>
    </w:p>
    <w:p>
      <w:pPr>
        <w:spacing w:after="120" w:before="0"/>
        <w:jc w:val="both"/>
      </w:pPr>
      <w:r>
        <w:rPr>
          <w:rFonts w:ascii="Calibri" w:hAnsi="Calibri" w:eastAsia="Calibri"/>
          <w:sz w:val="22"/>
        </w:rPr>
        <w:t>La société ne comporte, lors de sa constitution, qu’un seul associé, qui exerce les pouvoirs dévolus à l’assemblée des associés. Elle pourra ultérieurement comprendre plusieurs associés, notamment par suite de cession ou de transmission de parts ou d’augmentation du capital ; les règles applicables aux sociétés à responsabilité limitée pluripersonnelles s’appliqueront alors de plein droit et les présents statuts devront être adaptés.</w:t>
      </w:r>
    </w:p>
    <w:p>
      <w:pPr>
        <w:keepNext/>
        <w:spacing w:after="80" w:before="120"/>
      </w:pPr>
      <w:r>
        <w:rPr>
          <w:rFonts w:ascii="Calibri" w:hAnsi="Calibri" w:eastAsia="Calibri"/>
          <w:b/>
          <w:sz w:val="22"/>
        </w:rPr>
        <w:t>Article 2 — Objet</w:t>
      </w:r>
    </w:p>
    <w:p>
      <w:pPr>
        <w:spacing w:after="120" w:before="0"/>
        <w:jc w:val="both"/>
      </w:pPr>
      <w:r>
        <w:rPr>
          <w:rFonts w:ascii="Calibri" w:hAnsi="Calibri" w:eastAsia="Calibri"/>
          <w:sz w:val="22"/>
        </w:rPr>
        <w:t>La société a pour objet, en France et à l’étranger :</w:t>
      </w:r>
    </w:p>
    <w:p>
      <w:pPr>
        <w:spacing w:after="60" w:before="0"/>
        <w:jc w:val="both"/>
      </w:pPr>
      <w:r>
        <w:rPr>
          <w:rFonts w:ascii="Calibri" w:hAnsi="Calibri" w:eastAsia="Calibri"/>
          <w:sz w:val="22"/>
        </w:rPr>
        <w:t xml:space="preserve">– </w:t>
      </w:r>
      <w:r>
        <w:rPr>
          <w:rFonts w:ascii="Calibri" w:hAnsi="Calibri" w:eastAsia="Calibri"/>
          <w:sz w:val="22"/>
          <w:highlight w:val="yellow"/>
        </w:rPr>
        <w:t>[décrire précisément l’activité principale]</w:t>
      </w:r>
      <w:r>
        <w:rPr>
          <w:rFonts w:ascii="Calibri" w:hAnsi="Calibri" w:eastAsia="Calibri"/>
          <w:sz w:val="22"/>
        </w:rPr>
        <w:t xml:space="preserve"> ;</w:t>
      </w:r>
    </w:p>
    <w:p>
      <w:pPr>
        <w:spacing w:after="60" w:before="0"/>
        <w:jc w:val="both"/>
      </w:pPr>
      <w:r>
        <w:rPr>
          <w:rFonts w:ascii="Calibri" w:hAnsi="Calibri" w:eastAsia="Calibri"/>
          <w:sz w:val="22"/>
        </w:rPr>
        <w:t xml:space="preserve">– </w:t>
      </w:r>
      <w:r>
        <w:rPr>
          <w:rFonts w:ascii="Calibri" w:hAnsi="Calibri" w:eastAsia="Calibri"/>
          <w:sz w:val="22"/>
          <w:highlight w:val="yellow"/>
        </w:rPr>
        <w:t>[activités annexes ou complémentaires, le cas échéant]</w:t>
      </w:r>
      <w:r>
        <w:rPr>
          <w:rFonts w:ascii="Calibri" w:hAnsi="Calibri" w:eastAsia="Calibri"/>
          <w:sz w:val="22"/>
        </w:rPr>
        <w:t xml:space="preserve"> ;</w:t>
      </w:r>
    </w:p>
    <w:p>
      <w:pPr>
        <w:spacing w:after="120" w:before="0"/>
        <w:jc w:val="both"/>
      </w:pPr>
      <w:r>
        <w:rPr>
          <w:rFonts w:ascii="Calibri" w:hAnsi="Calibri" w:eastAsia="Calibri"/>
          <w:sz w:val="22"/>
        </w:rPr>
        <w:t>et, plus généralement, toutes opérations industrielles, commerciales, financières, civiles, mobilières ou immobilières pouvant se rattacher directement ou indirectement à l’objet social ou à tout objet similaire ou connexe, de nature à en favoriser la réalisation ou le développement.</w:t>
      </w:r>
    </w:p>
    <w:p>
      <w:pPr>
        <w:spacing w:after="120" w:before="0"/>
        <w:jc w:val="both"/>
      </w:pPr>
      <w:r>
        <w:rPr>
          <w:rFonts w:ascii="Calibri" w:hAnsi="Calibri" w:eastAsia="Calibri"/>
          <w:b/>
          <w:sz w:val="22"/>
          <w:highlight w:val="yellow"/>
        </w:rPr>
        <w:t>[Option — raison d’être]</w:t>
      </w:r>
      <w:r>
        <w:rPr>
          <w:rFonts w:ascii="Calibri" w:hAnsi="Calibri" w:eastAsia="Calibri"/>
          <w:sz w:val="22"/>
        </w:rPr>
        <w:t xml:space="preserve"> </w:t>
      </w:r>
      <w:r>
        <w:rPr>
          <w:rFonts w:ascii="Calibri" w:hAnsi="Calibri" w:eastAsia="Calibri"/>
          <w:sz w:val="22"/>
        </w:rPr>
        <w:t xml:space="preserve">Conformément à l’article 1835 du code civil, la société se dote de la raison d’être suivante : </w:t>
      </w:r>
      <w:r>
        <w:rPr>
          <w:rFonts w:ascii="Calibri" w:hAnsi="Calibri" w:eastAsia="Calibri"/>
          <w:sz w:val="22"/>
          <w:highlight w:val="yellow"/>
        </w:rPr>
        <w:t>[principes dont la société se dote et pour le respect desquels elle entend affecter des moyens dans la réalisation de son activité]</w:t>
      </w:r>
      <w:r>
        <w:rPr>
          <w:rFonts w:ascii="Calibri" w:hAnsi="Calibri" w:eastAsia="Calibri"/>
          <w:sz w:val="22"/>
        </w:rPr>
        <w:t>.</w:t>
      </w:r>
    </w:p>
    <w:p>
      <w:pPr>
        <w:keepNext/>
        <w:spacing w:after="80" w:before="120"/>
      </w:pPr>
      <w:r>
        <w:rPr>
          <w:rFonts w:ascii="Calibri" w:hAnsi="Calibri" w:eastAsia="Calibri"/>
          <w:b/>
          <w:sz w:val="22"/>
        </w:rPr>
        <w:t>Article 3 — Dénomination</w:t>
      </w:r>
    </w:p>
    <w:p>
      <w:pPr>
        <w:spacing w:after="120" w:before="0"/>
        <w:jc w:val="both"/>
      </w:pPr>
      <w:r>
        <w:rPr>
          <w:rFonts w:ascii="Calibri" w:hAnsi="Calibri" w:eastAsia="Calibri"/>
          <w:sz w:val="22"/>
        </w:rPr>
        <w:t xml:space="preserve">La dénomination sociale est : </w:t>
      </w:r>
      <w:r>
        <w:rPr>
          <w:rFonts w:ascii="Calibri" w:hAnsi="Calibri" w:eastAsia="Calibri"/>
          <w:b/>
          <w:sz w:val="22"/>
          <w:highlight w:val="yellow"/>
        </w:rPr>
        <w:t>[DÉNOMINATION]</w:t>
      </w:r>
      <w:r>
        <w:rPr>
          <w:rFonts w:ascii="Calibri" w:hAnsi="Calibri" w:eastAsia="Calibri"/>
          <w:sz w:val="22"/>
        </w:rPr>
        <w:t xml:space="preserve">. </w:t>
      </w:r>
      <w:r>
        <w:rPr>
          <w:rFonts w:ascii="Calibri" w:hAnsi="Calibri" w:eastAsia="Calibri"/>
          <w:sz w:val="22"/>
          <w:highlight w:val="yellow"/>
        </w:rPr>
        <w:t>[Sigle : … — à supprimer s’il n’y en a pas.]</w:t>
      </w:r>
    </w:p>
    <w:p>
      <w:pPr>
        <w:spacing w:after="120" w:before="0"/>
        <w:jc w:val="both"/>
      </w:pPr>
      <w:r>
        <w:rPr>
          <w:rFonts w:ascii="Calibri" w:hAnsi="Calibri" w:eastAsia="Calibri"/>
          <w:sz w:val="22"/>
        </w:rPr>
        <w:t>Dans tous les actes et documents émanant de la société et destinés aux tiers, la dénomination doit être précédée ou suivie immédiatement des mots « société à responsabilité limitée » ou des initiales « SARL » et de l’énonciation du capital social, ainsi que des autres mentions exigées par la réglementation.</w:t>
      </w:r>
    </w:p>
    <w:p>
      <w:pPr>
        <w:keepNext/>
        <w:spacing w:after="80" w:before="120"/>
      </w:pPr>
      <w:r>
        <w:rPr>
          <w:rFonts w:ascii="Calibri" w:hAnsi="Calibri" w:eastAsia="Calibri"/>
          <w:b/>
          <w:sz w:val="22"/>
        </w:rPr>
        <w:t>Article 4 — Siège social</w:t>
      </w:r>
    </w:p>
    <w:p>
      <w:pPr>
        <w:spacing w:after="120" w:before="0"/>
        <w:jc w:val="both"/>
      </w:pPr>
      <w:r>
        <w:rPr>
          <w:rFonts w:ascii="Calibri" w:hAnsi="Calibri" w:eastAsia="Calibri"/>
          <w:sz w:val="22"/>
        </w:rPr>
        <w:t xml:space="preserve">Le siège social est fixé : </w:t>
      </w:r>
      <w:r>
        <w:rPr>
          <w:rFonts w:ascii="Calibri" w:hAnsi="Calibri" w:eastAsia="Calibri"/>
          <w:sz w:val="22"/>
          <w:highlight w:val="yellow"/>
        </w:rPr>
        <w:t>[adresse complète]</w:t>
      </w:r>
      <w:r>
        <w:rPr>
          <w:rFonts w:ascii="Calibri" w:hAnsi="Calibri" w:eastAsia="Calibri"/>
          <w:sz w:val="22"/>
        </w:rPr>
        <w:t>.</w:t>
      </w:r>
    </w:p>
    <w:p>
      <w:pPr>
        <w:spacing w:after="120" w:before="0"/>
        <w:jc w:val="both"/>
      </w:pPr>
      <w:r>
        <w:rPr>
          <w:rFonts w:ascii="Calibri" w:hAnsi="Calibri" w:eastAsia="Calibri"/>
          <w:sz w:val="22"/>
        </w:rPr>
        <w:t xml:space="preserve">Il peut être déplacé en tout endroit du territoire français par décision </w:t>
      </w:r>
      <w:r>
        <w:rPr>
          <w:rFonts w:ascii="Calibri" w:hAnsi="Calibri" w:eastAsia="Calibri"/>
          <w:sz w:val="22"/>
          <w:highlight w:val="yellow"/>
        </w:rPr>
        <w:t>[de la gérance, sous réserve de ratification par l’Associé unique / de l’Associé unique]</w:t>
      </w:r>
      <w:r>
        <w:rPr>
          <w:rFonts w:ascii="Calibri" w:hAnsi="Calibri" w:eastAsia="Calibri"/>
          <w:sz w:val="22"/>
        </w:rPr>
        <w:t>, qui modifie les statuts en conséquence.</w:t>
      </w:r>
    </w:p>
    <w:p>
      <w:pPr>
        <w:keepNext/>
        <w:spacing w:after="80" w:before="120"/>
      </w:pPr>
      <w:r>
        <w:rPr>
          <w:rFonts w:ascii="Calibri" w:hAnsi="Calibri" w:eastAsia="Calibri"/>
          <w:b/>
          <w:sz w:val="22"/>
        </w:rPr>
        <w:t>Article 5 — Durée</w:t>
      </w:r>
    </w:p>
    <w:p>
      <w:pPr>
        <w:spacing w:after="120" w:before="0"/>
        <w:jc w:val="both"/>
      </w:pPr>
      <w:r>
        <w:rPr>
          <w:rFonts w:ascii="Calibri" w:hAnsi="Calibri" w:eastAsia="Calibri"/>
          <w:sz w:val="22"/>
        </w:rPr>
        <w:t xml:space="preserve">La durée de la société est fixée à </w:t>
      </w:r>
      <w:r>
        <w:rPr>
          <w:rFonts w:ascii="Calibri" w:hAnsi="Calibri" w:eastAsia="Calibri"/>
          <w:sz w:val="22"/>
          <w:highlight w:val="yellow"/>
        </w:rPr>
        <w:t>[quatre-vingt-dix-neuf]</w:t>
      </w:r>
      <w:r>
        <w:rPr>
          <w:rFonts w:ascii="Calibri" w:hAnsi="Calibri" w:eastAsia="Calibri"/>
          <w:sz w:val="22"/>
        </w:rPr>
        <w:t xml:space="preserve"> années à compter de son immatriculation au registre du commerce et des sociétés, sauf dissolution anticipée ou prorogation.</w:t>
      </w:r>
    </w:p>
    <w:p>
      <w:pPr>
        <w:spacing w:after="120" w:before="0"/>
        <w:jc w:val="both"/>
      </w:pPr>
      <w:r>
        <w:rPr>
          <w:rFonts w:ascii="Calibri" w:hAnsi="Calibri" w:eastAsia="Calibri"/>
          <w:sz w:val="22"/>
        </w:rPr>
        <w:t xml:space="preserve">Un an au moins avant la date d’expiration de la société, </w:t>
      </w:r>
      <w:r>
        <w:rPr>
          <w:rFonts w:ascii="Calibri" w:hAnsi="Calibri" w:eastAsia="Calibri"/>
          <w:sz w:val="22"/>
        </w:rPr>
        <w:t>la gérance</w:t>
      </w:r>
      <w:r>
        <w:rPr>
          <w:rFonts w:ascii="Calibri" w:hAnsi="Calibri" w:eastAsia="Calibri"/>
          <w:sz w:val="22"/>
        </w:rPr>
        <w:t xml:space="preserve"> consulte </w:t>
      </w:r>
      <w:r>
        <w:rPr>
          <w:rFonts w:ascii="Calibri" w:hAnsi="Calibri" w:eastAsia="Calibri"/>
          <w:sz w:val="22"/>
        </w:rPr>
        <w:t>l’Associé unique</w:t>
      </w:r>
      <w:r>
        <w:rPr>
          <w:rFonts w:ascii="Calibri" w:hAnsi="Calibri" w:eastAsia="Calibri"/>
          <w:sz w:val="22"/>
        </w:rPr>
        <w:t xml:space="preserve"> à l’effet de décider si la société doit être prorogée.</w:t>
      </w:r>
    </w:p>
    <w:p>
      <w:pPr>
        <w:keepNext/>
        <w:spacing w:after="160" w:before="240"/>
        <w:jc w:val="center"/>
      </w:pPr>
      <w:r>
        <w:rPr>
          <w:rFonts w:ascii="Calibri" w:hAnsi="Calibri" w:eastAsia="Calibri"/>
          <w:b/>
          <w:sz w:val="23"/>
        </w:rPr>
        <w:t>TITRE II — APPORTS — CAPITAL SOCIAL — PARTS SOCIALES</w:t>
      </w:r>
    </w:p>
    <w:p>
      <w:pPr>
        <w:keepNext/>
        <w:spacing w:after="80" w:before="120"/>
      </w:pPr>
      <w:r>
        <w:rPr>
          <w:rFonts w:ascii="Calibri" w:hAnsi="Calibri" w:eastAsia="Calibri"/>
          <w:b/>
          <w:sz w:val="22"/>
        </w:rPr>
        <w:t>Article 6 — Apports</w:t>
      </w:r>
    </w:p>
    <w:p>
      <w:pPr>
        <w:keepNext/>
        <w:spacing w:after="80" w:before="80"/>
      </w:pPr>
      <w:r>
        <w:rPr>
          <w:rFonts w:ascii="Calibri" w:hAnsi="Calibri" w:eastAsia="Calibri"/>
          <w:b/>
          <w:sz w:val="22"/>
        </w:rPr>
        <w:t>1. Apport en numéraire</w:t>
      </w:r>
    </w:p>
    <w:p>
      <w:pPr>
        <w:spacing w:after="120" w:before="0"/>
        <w:jc w:val="both"/>
      </w:pPr>
      <w:r>
        <w:rPr>
          <w:rFonts w:ascii="Calibri" w:hAnsi="Calibri" w:eastAsia="Calibri"/>
          <w:sz w:val="22"/>
        </w:rPr>
        <w:t xml:space="preserve">L’Associé unique apporte à la société la somme de </w:t>
      </w:r>
      <w:r>
        <w:rPr>
          <w:rFonts w:ascii="Calibri" w:hAnsi="Calibri" w:eastAsia="Calibri"/>
          <w:sz w:val="22"/>
          <w:highlight w:val="yellow"/>
        </w:rPr>
        <w:t>[montant]</w:t>
      </w:r>
      <w:r>
        <w:rPr>
          <w:rFonts w:ascii="Calibri" w:hAnsi="Calibri" w:eastAsia="Calibri"/>
          <w:sz w:val="22"/>
        </w:rPr>
        <w:t xml:space="preserve"> €, correspondant à </w:t>
      </w:r>
      <w:r>
        <w:rPr>
          <w:rFonts w:ascii="Calibri" w:hAnsi="Calibri" w:eastAsia="Calibri"/>
          <w:sz w:val="22"/>
          <w:highlight w:val="yellow"/>
        </w:rPr>
        <w:t>[nombre]</w:t>
      </w:r>
      <w:r>
        <w:rPr>
          <w:rFonts w:ascii="Calibri" w:hAnsi="Calibri" w:eastAsia="Calibri"/>
          <w:sz w:val="22"/>
        </w:rPr>
        <w:t xml:space="preserve"> parts sociales libérées </w:t>
      </w:r>
      <w:r>
        <w:rPr>
          <w:rFonts w:ascii="Calibri" w:hAnsi="Calibri" w:eastAsia="Calibri"/>
          <w:sz w:val="22"/>
          <w:highlight w:val="yellow"/>
        </w:rPr>
        <w:t>[en totalité / à concurrence de … %, soit au moins un cinquième]</w:t>
      </w:r>
      <w:r>
        <w:rPr>
          <w:rFonts w:ascii="Calibri" w:hAnsi="Calibri" w:eastAsia="Calibri"/>
          <w:sz w:val="22"/>
        </w:rPr>
        <w:t xml:space="preserve"> de leur montant. Les fonds ont été déposés le </w:t>
      </w:r>
      <w:r>
        <w:rPr>
          <w:rFonts w:ascii="Calibri" w:hAnsi="Calibri" w:eastAsia="Calibri"/>
          <w:sz w:val="22"/>
          <w:highlight w:val="yellow"/>
        </w:rPr>
        <w:t>[date]</w:t>
      </w:r>
      <w:r>
        <w:rPr>
          <w:rFonts w:ascii="Calibri" w:hAnsi="Calibri" w:eastAsia="Calibri"/>
          <w:sz w:val="22"/>
        </w:rPr>
        <w:t xml:space="preserve">, dans les huit jours de leur réception, à un compte ouvert au nom de la société en formation auprès de </w:t>
      </w:r>
      <w:r>
        <w:rPr>
          <w:rFonts w:ascii="Calibri" w:hAnsi="Calibri" w:eastAsia="Calibri"/>
          <w:sz w:val="22"/>
          <w:highlight w:val="yellow"/>
        </w:rPr>
        <w:t>[dénomination de l’établissement de crédit, adresse / Maître …, notaire]</w:t>
      </w:r>
      <w:r>
        <w:rPr>
          <w:rFonts w:ascii="Calibri" w:hAnsi="Calibri" w:eastAsia="Calibri"/>
          <w:sz w:val="22"/>
        </w:rPr>
        <w:t>, ainsi qu’il résulte du certificat établi par le dépositaire.</w:t>
      </w:r>
    </w:p>
    <w:p>
      <w:pPr>
        <w:spacing w:after="120" w:before="0"/>
        <w:jc w:val="both"/>
      </w:pPr>
      <w:r>
        <w:rPr>
          <w:rFonts w:ascii="Calibri" w:hAnsi="Calibri" w:eastAsia="Calibri"/>
          <w:b/>
          <w:sz w:val="22"/>
          <w:highlight w:val="yellow"/>
        </w:rPr>
        <w:t>[Option — libération partielle]</w:t>
      </w:r>
      <w:r>
        <w:rPr>
          <w:rFonts w:ascii="Calibri" w:hAnsi="Calibri" w:eastAsia="Calibri"/>
          <w:sz w:val="22"/>
        </w:rPr>
        <w:t xml:space="preserve"> </w:t>
      </w:r>
      <w:r>
        <w:rPr>
          <w:rFonts w:ascii="Calibri" w:hAnsi="Calibri" w:eastAsia="Calibri"/>
          <w:sz w:val="22"/>
        </w:rPr>
        <w:t>Le surplus sera libéré en une ou plusieurs fois sur décision de la gérance, dans un délai qui ne peut excéder cinq ans à compter de l’immatriculation de la société au registre du commerce et des sociétés.</w:t>
      </w:r>
    </w:p>
    <w:p>
      <w:pPr>
        <w:keepNext/>
        <w:spacing w:after="80" w:before="80"/>
      </w:pPr>
      <w:r>
        <w:rPr>
          <w:rFonts w:ascii="Calibri" w:hAnsi="Calibri" w:eastAsia="Calibri"/>
          <w:b/>
          <w:sz w:val="22"/>
        </w:rPr>
        <w:t>2. Apport en nature (option)</w:t>
      </w:r>
    </w:p>
    <w:p>
      <w:pPr>
        <w:spacing w:after="120" w:before="0"/>
        <w:jc w:val="both"/>
      </w:pPr>
      <w:r>
        <w:rPr>
          <w:rFonts w:ascii="Calibri" w:hAnsi="Calibri" w:eastAsia="Calibri"/>
          <w:sz w:val="22"/>
        </w:rPr>
        <w:t xml:space="preserve">L’Associé unique apporte à la société </w:t>
      </w:r>
      <w:r>
        <w:rPr>
          <w:rFonts w:ascii="Calibri" w:hAnsi="Calibri" w:eastAsia="Calibri"/>
          <w:sz w:val="22"/>
          <w:highlight w:val="yellow"/>
        </w:rPr>
        <w:t>[désignation précise du bien apporté ; origine de propriété ; charges et conditions]</w:t>
      </w:r>
      <w:r>
        <w:rPr>
          <w:rFonts w:ascii="Calibri" w:hAnsi="Calibri" w:eastAsia="Calibri"/>
          <w:sz w:val="22"/>
        </w:rPr>
        <w:t xml:space="preserve">, évalué à </w:t>
      </w:r>
      <w:r>
        <w:rPr>
          <w:rFonts w:ascii="Calibri" w:hAnsi="Calibri" w:eastAsia="Calibri"/>
          <w:sz w:val="22"/>
          <w:highlight w:val="yellow"/>
        </w:rPr>
        <w:t>[montant]</w:t>
      </w:r>
      <w:r>
        <w:rPr>
          <w:rFonts w:ascii="Calibri" w:hAnsi="Calibri" w:eastAsia="Calibri"/>
          <w:sz w:val="22"/>
        </w:rPr>
        <w:t xml:space="preserve"> €, en rémunération duquel il lui est attribué </w:t>
      </w:r>
      <w:r>
        <w:rPr>
          <w:rFonts w:ascii="Calibri" w:hAnsi="Calibri" w:eastAsia="Calibri"/>
          <w:sz w:val="22"/>
          <w:highlight w:val="yellow"/>
        </w:rPr>
        <w:t>[nombre]</w:t>
      </w:r>
      <w:r>
        <w:rPr>
          <w:rFonts w:ascii="Calibri" w:hAnsi="Calibri" w:eastAsia="Calibri"/>
          <w:sz w:val="22"/>
        </w:rPr>
        <w:t xml:space="preserve"> parts sociales, entièrement libérées.</w:t>
      </w:r>
    </w:p>
    <w:p>
      <w:pPr>
        <w:spacing w:after="120" w:before="0"/>
        <w:jc w:val="both"/>
      </w:pPr>
      <w:r>
        <w:rPr>
          <w:rFonts w:ascii="Calibri" w:hAnsi="Calibri" w:eastAsia="Calibri"/>
          <w:b/>
          <w:sz w:val="22"/>
          <w:highlight w:val="yellow"/>
        </w:rPr>
        <w:t>[Variante A]</w:t>
      </w:r>
      <w:r>
        <w:rPr>
          <w:rFonts w:ascii="Calibri" w:hAnsi="Calibri" w:eastAsia="Calibri"/>
          <w:sz w:val="22"/>
        </w:rPr>
        <w:t xml:space="preserve"> Cette évaluation a été faite au vu du rapport annexé aux statuts (annexe 2), établi sous sa responsabilité par </w:t>
      </w:r>
      <w:r>
        <w:rPr>
          <w:rFonts w:ascii="Calibri" w:hAnsi="Calibri" w:eastAsia="Calibri"/>
          <w:sz w:val="22"/>
          <w:highlight w:val="yellow"/>
        </w:rPr>
        <w:t>[nom]</w:t>
      </w:r>
      <w:r>
        <w:rPr>
          <w:rFonts w:ascii="Calibri" w:hAnsi="Calibri" w:eastAsia="Calibri"/>
          <w:sz w:val="22"/>
        </w:rPr>
        <w:t>, commissaire aux apports désigné par l’Associé unique.</w:t>
      </w:r>
    </w:p>
    <w:p>
      <w:pPr>
        <w:spacing w:after="120" w:before="0"/>
        <w:jc w:val="both"/>
      </w:pPr>
      <w:r>
        <w:rPr>
          <w:rFonts w:ascii="Calibri" w:hAnsi="Calibri" w:eastAsia="Calibri"/>
          <w:b/>
          <w:sz w:val="22"/>
          <w:highlight w:val="yellow"/>
        </w:rPr>
        <w:t>[Variante B]</w:t>
      </w:r>
      <w:r>
        <w:rPr>
          <w:rFonts w:ascii="Calibri" w:hAnsi="Calibri" w:eastAsia="Calibri"/>
          <w:sz w:val="22"/>
        </w:rPr>
        <w:t xml:space="preserve"> L’Associé unique n’a pas eu recours à un commissaire aux apports, </w:t>
      </w:r>
      <w:r>
        <w:rPr>
          <w:rFonts w:ascii="Calibri" w:hAnsi="Calibri" w:eastAsia="Calibri"/>
          <w:sz w:val="22"/>
          <w:highlight w:val="yellow"/>
        </w:rPr>
        <w:t>[la valeur d’aucun apport en nature n’excédant 30 000 € et la valeur totale des apports en nature non évalués n’excédant pas la moitié du capital / l’apport portant sur des éléments qui figuraient dans le bilan du dernier exercice de son activité professionnelle exercée en nom propre]</w:t>
      </w:r>
      <w:r>
        <w:rPr>
          <w:rFonts w:ascii="Calibri" w:hAnsi="Calibri" w:eastAsia="Calibri"/>
          <w:sz w:val="22"/>
        </w:rPr>
        <w:t>. Il déclare savoir qu’il est alors responsable pendant cinq ans, à l’égard des tiers, de la valeur attribuée à cet apport.</w:t>
      </w:r>
    </w:p>
    <w:p>
      <w:pPr>
        <w:keepNext/>
        <w:spacing w:after="80" w:before="80"/>
      </w:pPr>
      <w:r>
        <w:rPr>
          <w:rFonts w:ascii="Calibri" w:hAnsi="Calibri" w:eastAsia="Calibri"/>
          <w:b/>
          <w:sz w:val="22"/>
        </w:rPr>
        <w:t>Déclarations relatives aux biens communs (article 1832-2 du code civil)</w:t>
      </w:r>
    </w:p>
    <w:p>
      <w:pPr>
        <w:spacing w:after="120" w:before="0"/>
        <w:jc w:val="both"/>
      </w:pPr>
      <w:r>
        <w:rPr>
          <w:rFonts w:ascii="Calibri" w:hAnsi="Calibri" w:eastAsia="Calibri"/>
          <w:sz w:val="22"/>
          <w:highlight w:val="yellow"/>
        </w:rPr>
        <w:t>[Prénom NOM]</w:t>
      </w:r>
      <w:r>
        <w:rPr>
          <w:rFonts w:ascii="Calibri" w:hAnsi="Calibri" w:eastAsia="Calibri"/>
          <w:sz w:val="22"/>
        </w:rPr>
        <w:t xml:space="preserve">, marié(e) sous un régime de communauté, déclare que les sommes </w:t>
      </w:r>
      <w:r>
        <w:rPr>
          <w:rFonts w:ascii="Calibri" w:hAnsi="Calibri" w:eastAsia="Calibri"/>
          <w:sz w:val="22"/>
          <w:highlight w:val="yellow"/>
        </w:rPr>
        <w:t>[et biens]</w:t>
      </w:r>
      <w:r>
        <w:rPr>
          <w:rFonts w:ascii="Calibri" w:hAnsi="Calibri" w:eastAsia="Calibri"/>
          <w:sz w:val="22"/>
        </w:rPr>
        <w:t xml:space="preserve"> apportés </w:t>
      </w:r>
      <w:r>
        <w:rPr>
          <w:rFonts w:ascii="Calibri" w:hAnsi="Calibri" w:eastAsia="Calibri"/>
          <w:sz w:val="22"/>
          <w:highlight w:val="yellow"/>
        </w:rPr>
        <w:t>[sont des biens propres / dépendent de la communauté]</w:t>
      </w:r>
      <w:r>
        <w:rPr>
          <w:rFonts w:ascii="Calibri" w:hAnsi="Calibri" w:eastAsia="Calibri"/>
          <w:sz w:val="22"/>
        </w:rPr>
        <w:t xml:space="preserve">. </w:t>
      </w:r>
      <w:r>
        <w:rPr>
          <w:rFonts w:ascii="Calibri" w:hAnsi="Calibri" w:eastAsia="Calibri"/>
          <w:sz w:val="22"/>
          <w:highlight w:val="yellow"/>
        </w:rPr>
        <w:t>[En cas de biens communs :]</w:t>
      </w:r>
      <w:r>
        <w:rPr>
          <w:rFonts w:ascii="Calibri" w:hAnsi="Calibri" w:eastAsia="Calibri"/>
          <w:sz w:val="22"/>
        </w:rPr>
        <w:t xml:space="preserve"> son conjoint, </w:t>
      </w:r>
      <w:r>
        <w:rPr>
          <w:rFonts w:ascii="Calibri" w:hAnsi="Calibri" w:eastAsia="Calibri"/>
          <w:sz w:val="22"/>
          <w:highlight w:val="yellow"/>
        </w:rPr>
        <w:t>[Prénom NOM]</w:t>
      </w:r>
      <w:r>
        <w:rPr>
          <w:rFonts w:ascii="Calibri" w:hAnsi="Calibri" w:eastAsia="Calibri"/>
          <w:sz w:val="22"/>
        </w:rPr>
        <w:t xml:space="preserve">, intervenant aux présentes, reconnaît avoir été averti de cet apport et déclare </w:t>
      </w:r>
      <w:r>
        <w:rPr>
          <w:rFonts w:ascii="Calibri" w:hAnsi="Calibri" w:eastAsia="Calibri"/>
          <w:sz w:val="22"/>
          <w:highlight w:val="yellow"/>
        </w:rPr>
        <w:t>[ne pas revendiquer, à ce jour, la qualité d’associé / notifier par les présentes son intention d’être personnellement associé pour la moitié des parts souscrites]</w:t>
      </w:r>
      <w:r>
        <w:rPr>
          <w:rFonts w:ascii="Calibri" w:hAnsi="Calibri" w:eastAsia="Calibri"/>
          <w:sz w:val="22"/>
        </w:rPr>
        <w:t>.</w:t>
      </w:r>
    </w:p>
    <w:p>
      <w:pPr>
        <w:keepNext/>
        <w:spacing w:after="80" w:before="80"/>
      </w:pPr>
      <w:r>
        <w:rPr>
          <w:rFonts w:ascii="Calibri" w:hAnsi="Calibri" w:eastAsia="Calibri"/>
          <w:b/>
          <w:sz w:val="22"/>
        </w:rPr>
        <w:t>Récapitulatif</w:t>
      </w:r>
    </w:p>
    <w:p>
      <w:pPr>
        <w:spacing w:after="120" w:before="0"/>
        <w:jc w:val="both"/>
      </w:pPr>
      <w:r>
        <w:rPr>
          <w:rFonts w:ascii="Calibri" w:hAnsi="Calibri" w:eastAsia="Calibri"/>
          <w:sz w:val="22"/>
        </w:rPr>
        <w:t xml:space="preserve">Apport en numéraire : </w:t>
      </w:r>
      <w:r>
        <w:rPr>
          <w:rFonts w:ascii="Calibri" w:hAnsi="Calibri" w:eastAsia="Calibri"/>
          <w:sz w:val="22"/>
          <w:highlight w:val="yellow"/>
        </w:rPr>
        <w:t>[montant]</w:t>
      </w:r>
      <w:r>
        <w:rPr>
          <w:rFonts w:ascii="Calibri" w:hAnsi="Calibri" w:eastAsia="Calibri"/>
          <w:sz w:val="22"/>
        </w:rPr>
        <w:t xml:space="preserve"> € — Apport en nature : </w:t>
      </w:r>
      <w:r>
        <w:rPr>
          <w:rFonts w:ascii="Calibri" w:hAnsi="Calibri" w:eastAsia="Calibri"/>
          <w:sz w:val="22"/>
          <w:highlight w:val="yellow"/>
        </w:rPr>
        <w:t>[montant]</w:t>
      </w:r>
      <w:r>
        <w:rPr>
          <w:rFonts w:ascii="Calibri" w:hAnsi="Calibri" w:eastAsia="Calibri"/>
          <w:sz w:val="22"/>
        </w:rPr>
        <w:t xml:space="preserve"> € — Total des apports formant le capital social : </w:t>
      </w:r>
      <w:r>
        <w:rPr>
          <w:rFonts w:ascii="Calibri" w:hAnsi="Calibri" w:eastAsia="Calibri"/>
          <w:sz w:val="22"/>
          <w:highlight w:val="yellow"/>
        </w:rPr>
        <w:t>[montant]</w:t>
      </w:r>
      <w:r>
        <w:rPr>
          <w:rFonts w:ascii="Calibri" w:hAnsi="Calibri" w:eastAsia="Calibri"/>
          <w:sz w:val="22"/>
        </w:rPr>
        <w:t xml:space="preserve"> €.</w:t>
      </w:r>
    </w:p>
    <w:p>
      <w:pPr>
        <w:keepNext/>
        <w:spacing w:after="80" w:before="120"/>
      </w:pPr>
      <w:r>
        <w:rPr>
          <w:rFonts w:ascii="Calibri" w:hAnsi="Calibri" w:eastAsia="Calibri"/>
          <w:b/>
          <w:sz w:val="22"/>
        </w:rPr>
        <w:t>Article 7 — Capital social</w:t>
      </w:r>
    </w:p>
    <w:p>
      <w:pPr>
        <w:spacing w:after="120" w:before="0"/>
        <w:jc w:val="both"/>
      </w:pPr>
      <w:r>
        <w:rPr>
          <w:rFonts w:ascii="Calibri" w:hAnsi="Calibri" w:eastAsia="Calibri"/>
          <w:sz w:val="22"/>
        </w:rPr>
        <w:t xml:space="preserve">Le capital social est fixé à la somme de </w:t>
      </w:r>
      <w:r>
        <w:rPr>
          <w:rFonts w:ascii="Calibri" w:hAnsi="Calibri" w:eastAsia="Calibri"/>
          <w:b/>
          <w:sz w:val="22"/>
          <w:highlight w:val="yellow"/>
        </w:rPr>
        <w:t>[montant en chiffres]</w:t>
      </w:r>
      <w:r>
        <w:rPr>
          <w:rFonts w:ascii="Calibri" w:hAnsi="Calibri" w:eastAsia="Calibri"/>
          <w:b/>
          <w:sz w:val="22"/>
        </w:rPr>
        <w:t xml:space="preserve"> €</w:t>
      </w:r>
      <w:r>
        <w:rPr>
          <w:rFonts w:ascii="Calibri" w:hAnsi="Calibri" w:eastAsia="Calibri"/>
          <w:sz w:val="22"/>
        </w:rPr>
        <w:t xml:space="preserve"> (</w:t>
      </w:r>
      <w:r>
        <w:rPr>
          <w:rFonts w:ascii="Calibri" w:hAnsi="Calibri" w:eastAsia="Calibri"/>
          <w:sz w:val="22"/>
          <w:highlight w:val="yellow"/>
        </w:rPr>
        <w:t>[montant en lettres]</w:t>
      </w:r>
      <w:r>
        <w:rPr>
          <w:rFonts w:ascii="Calibri" w:hAnsi="Calibri" w:eastAsia="Calibri"/>
          <w:sz w:val="22"/>
        </w:rPr>
        <w:t xml:space="preserve"> euros). Il est divisé en </w:t>
      </w:r>
      <w:r>
        <w:rPr>
          <w:rFonts w:ascii="Calibri" w:hAnsi="Calibri" w:eastAsia="Calibri"/>
          <w:sz w:val="22"/>
          <w:highlight w:val="yellow"/>
        </w:rPr>
        <w:t>[nombre]</w:t>
      </w:r>
      <w:r>
        <w:rPr>
          <w:rFonts w:ascii="Calibri" w:hAnsi="Calibri" w:eastAsia="Calibri"/>
          <w:sz w:val="22"/>
        </w:rPr>
        <w:t xml:space="preserve"> parts sociales égales de </w:t>
      </w:r>
      <w:r>
        <w:rPr>
          <w:rFonts w:ascii="Calibri" w:hAnsi="Calibri" w:eastAsia="Calibri"/>
          <w:sz w:val="22"/>
          <w:highlight w:val="yellow"/>
        </w:rPr>
        <w:t>[valeur nominale]</w:t>
      </w:r>
      <w:r>
        <w:rPr>
          <w:rFonts w:ascii="Calibri" w:hAnsi="Calibri" w:eastAsia="Calibri"/>
          <w:sz w:val="22"/>
        </w:rPr>
        <w:t xml:space="preserve"> € chacune, numérotées de 1 à </w:t>
      </w:r>
      <w:r>
        <w:rPr>
          <w:rFonts w:ascii="Calibri" w:hAnsi="Calibri" w:eastAsia="Calibri"/>
          <w:sz w:val="22"/>
          <w:highlight w:val="yellow"/>
        </w:rPr>
        <w:t>[nombre]</w:t>
      </w:r>
      <w:r>
        <w:rPr>
          <w:rFonts w:ascii="Calibri" w:hAnsi="Calibri" w:eastAsia="Calibri"/>
          <w:sz w:val="22"/>
        </w:rPr>
        <w:t xml:space="preserve">, attribuées en totalité à l’Associé unique </w:t>
      </w:r>
      <w:r>
        <w:rPr>
          <w:rFonts w:ascii="Calibri" w:hAnsi="Calibri" w:eastAsia="Calibri"/>
          <w:sz w:val="22"/>
          <w:highlight w:val="yellow"/>
        </w:rPr>
        <w:t>[et libérées dans les conditions indiquées à l’article 6]</w:t>
      </w:r>
      <w:r>
        <w:rPr>
          <w:rFonts w:ascii="Calibri" w:hAnsi="Calibri" w:eastAsia="Calibri"/>
          <w:sz w:val="22"/>
        </w:rPr>
        <w:t>.</w:t>
      </w:r>
    </w:p>
    <w:p>
      <w:pPr>
        <w:spacing w:after="120" w:before="0"/>
        <w:jc w:val="both"/>
      </w:pPr>
      <w:r>
        <w:rPr>
          <w:rFonts w:ascii="Calibri" w:hAnsi="Calibri" w:eastAsia="Calibri"/>
          <w:sz w:val="22"/>
        </w:rPr>
        <w:t>Le capital peut être augmenté ou réduit par décision de l’Associé unique, dans les conditions prévues par la loi. Le capital doit être intégralement libéré avant toute souscription de nouvelles parts à libérer en numéraire.</w:t>
      </w:r>
    </w:p>
    <w:p>
      <w:pPr>
        <w:keepNext/>
        <w:spacing w:after="80" w:before="120"/>
      </w:pPr>
      <w:r>
        <w:rPr>
          <w:rFonts w:ascii="Calibri" w:hAnsi="Calibri" w:eastAsia="Calibri"/>
          <w:b/>
          <w:sz w:val="22"/>
        </w:rPr>
        <w:t>Article 8 — Parts sociales</w:t>
      </w:r>
    </w:p>
    <w:p>
      <w:pPr>
        <w:spacing w:after="120" w:before="0"/>
        <w:jc w:val="both"/>
      </w:pPr>
      <w:r>
        <w:rPr>
          <w:rFonts w:ascii="Calibri" w:hAnsi="Calibri" w:eastAsia="Calibri"/>
          <w:sz w:val="22"/>
        </w:rPr>
        <w:t>Les parts sociales ne peuvent être représentées par des titres négociables. Chaque part donne droit à une fraction des bénéfices et de l’actif social proportionnelle à la quotité du capital qu’elle représente. L’Associé unique ne supporte les pertes qu’à concurrence de ses apports.</w:t>
      </w:r>
    </w:p>
    <w:p>
      <w:pPr>
        <w:spacing w:after="120" w:before="0"/>
        <w:jc w:val="both"/>
      </w:pPr>
      <w:r>
        <w:rPr>
          <w:rFonts w:ascii="Calibri" w:hAnsi="Calibri" w:eastAsia="Calibri"/>
          <w:sz w:val="22"/>
        </w:rPr>
        <w:t>Les cessions de parts consenties par l’Associé unique sont constatées par écrit et rendues opposables à la société et aux tiers dans les conditions prévues par la loi. Dès que la société comprend plusieurs associés, les cessions à des tiers sont soumises à l’agrément prévu par l’article L. 223-14 du code de commerce.</w:t>
      </w:r>
    </w:p>
    <w:p>
      <w:pPr>
        <w:spacing w:after="120" w:before="0"/>
        <w:jc w:val="both"/>
      </w:pPr>
      <w:r>
        <w:rPr>
          <w:rFonts w:ascii="Calibri" w:hAnsi="Calibri" w:eastAsia="Calibri"/>
          <w:sz w:val="22"/>
        </w:rPr>
        <w:t>Le décès de l’Associé unique n’entraîne pas la dissolution de la société, qui continue avec ses héritiers ou ayants droit. En cas d’indivision, ceux-ci sont représentés par un mandataire unique ; en cas de démembrement, le droit de vote appartient au nu-propriétaire, sauf pour les décisions concernant l’affectation des bénéfices, où il est réservé à l’usufruitier.</w:t>
      </w:r>
    </w:p>
    <w:p>
      <w:pPr>
        <w:keepNext/>
        <w:spacing w:after="80" w:before="120"/>
      </w:pPr>
      <w:r>
        <w:rPr>
          <w:rFonts w:ascii="Calibri" w:hAnsi="Calibri" w:eastAsia="Calibri"/>
          <w:b/>
          <w:sz w:val="22"/>
        </w:rPr>
        <w:t>Article 9 — Comptes courants — Interdictions</w:t>
      </w:r>
    </w:p>
    <w:p>
      <w:pPr>
        <w:spacing w:after="120" w:before="0"/>
        <w:jc w:val="both"/>
      </w:pPr>
      <w:r>
        <w:rPr>
          <w:rFonts w:ascii="Calibri" w:hAnsi="Calibri" w:eastAsia="Calibri"/>
          <w:sz w:val="22"/>
        </w:rPr>
        <w:t>L’Associé unique peut mettre à la disposition de la société les sommes dont celle-ci peut avoir besoin, selon les conditions de rémunération et de remboursement fixées par convention.</w:t>
      </w:r>
    </w:p>
    <w:p>
      <w:pPr>
        <w:spacing w:after="120" w:before="0"/>
        <w:jc w:val="both"/>
      </w:pPr>
      <w:r>
        <w:rPr>
          <w:rFonts w:ascii="Calibri" w:hAnsi="Calibri" w:eastAsia="Calibri"/>
          <w:sz w:val="22"/>
        </w:rPr>
        <w:t>À peine de nullité du contrat, il est interdit aux gérants et associés autres que les personnes morales, ainsi qu’aux représentants légaux d’un associé personne morale, de contracter sous quelque forme que ce soit des emprunts auprès de la société, de se faire consentir par elle un découvert, en compte courant ou autrement, ainsi que de faire cautionner ou avaliser par elle leurs engagements envers les tiers ; cette interdiction s’applique aussi à leurs conjoint, ascendants et descendants et à toute personne interposée (C. com., art. L. 223-21).</w:t>
      </w:r>
    </w:p>
    <w:p>
      <w:pPr>
        <w:keepNext/>
        <w:spacing w:after="160" w:before="240"/>
        <w:jc w:val="center"/>
      </w:pPr>
      <w:r>
        <w:rPr>
          <w:rFonts w:ascii="Calibri" w:hAnsi="Calibri" w:eastAsia="Calibri"/>
          <w:b/>
          <w:sz w:val="23"/>
        </w:rPr>
        <w:t>TITRE III — GÉRANCE</w:t>
      </w:r>
    </w:p>
    <w:p>
      <w:pPr>
        <w:keepNext/>
        <w:spacing w:after="80" w:before="120"/>
      </w:pPr>
      <w:r>
        <w:rPr>
          <w:rFonts w:ascii="Calibri" w:hAnsi="Calibri" w:eastAsia="Calibri"/>
          <w:b/>
          <w:sz w:val="22"/>
        </w:rPr>
        <w:t>Article 10 — Gérance</w:t>
      </w:r>
    </w:p>
    <w:p>
      <w:pPr>
        <w:spacing w:after="120" w:before="0"/>
        <w:jc w:val="both"/>
      </w:pPr>
      <w:r>
        <w:rPr>
          <w:rFonts w:ascii="Calibri" w:hAnsi="Calibri" w:eastAsia="Calibri"/>
          <w:sz w:val="22"/>
        </w:rPr>
        <w:t xml:space="preserve">La société est gérée par une ou plusieurs personnes physiques, </w:t>
      </w:r>
      <w:r>
        <w:rPr>
          <w:rFonts w:ascii="Calibri" w:hAnsi="Calibri" w:eastAsia="Calibri"/>
          <w:sz w:val="22"/>
          <w:highlight w:val="yellow"/>
        </w:rPr>
        <w:t>[l’Associé unique lui-même s’il est une personne physique / un ou plusieurs tiers]</w:t>
      </w:r>
      <w:r>
        <w:rPr>
          <w:rFonts w:ascii="Calibri" w:hAnsi="Calibri" w:eastAsia="Calibri"/>
          <w:sz w:val="22"/>
        </w:rPr>
        <w:t xml:space="preserve">, nommées par l’Associé unique, dans les statuts ou par décision ultérieure, pour une durée </w:t>
      </w:r>
      <w:r>
        <w:rPr>
          <w:rFonts w:ascii="Calibri" w:hAnsi="Calibri" w:eastAsia="Calibri"/>
          <w:sz w:val="22"/>
          <w:highlight w:val="yellow"/>
        </w:rPr>
        <w:t>[indéterminée / de … années]</w:t>
      </w:r>
      <w:r>
        <w:rPr>
          <w:rFonts w:ascii="Calibri" w:hAnsi="Calibri" w:eastAsia="Calibri"/>
          <w:sz w:val="22"/>
        </w:rPr>
        <w:t>. À défaut de précision, le gérant est nommé pour la durée de la société.</w:t>
      </w:r>
    </w:p>
    <w:p>
      <w:pPr>
        <w:spacing w:after="120" w:before="0"/>
        <w:jc w:val="both"/>
      </w:pPr>
      <w:r>
        <w:rPr>
          <w:rFonts w:ascii="Calibri" w:hAnsi="Calibri" w:eastAsia="Calibri"/>
          <w:sz w:val="22"/>
        </w:rPr>
        <w:t>Dans les rapports avec les tiers, le gérant est investi des pouvoirs les plus étendus pour agir en toute circonstance au nom de la société, sous réserve des pouvoirs que la loi attribue expressément à l’Associé unique. La société est engagée même par les actes du gérant qui ne relèvent pas de l’objet social, à moins qu’elle ne prouve que le tiers savait que l’acte dépassait cet objet ou ne pouvait l’ignorer compte tenu des circonstances, la seule publication des statuts ne suffisant pas à constituer cette preuve. Les clauses limitant les pouvoirs du gérant sont inopposables aux tiers.</w:t>
      </w:r>
    </w:p>
    <w:p>
      <w:pPr>
        <w:spacing w:after="120" w:before="0"/>
        <w:jc w:val="both"/>
      </w:pPr>
      <w:r>
        <w:rPr>
          <w:rFonts w:ascii="Calibri" w:hAnsi="Calibri" w:eastAsia="Calibri"/>
          <w:b/>
          <w:sz w:val="22"/>
          <w:highlight w:val="yellow"/>
        </w:rPr>
        <w:t>[Option — gérant non associé : limitations internes]</w:t>
      </w:r>
      <w:r>
        <w:rPr>
          <w:rFonts w:ascii="Calibri" w:hAnsi="Calibri" w:eastAsia="Calibri"/>
          <w:sz w:val="22"/>
        </w:rPr>
        <w:t xml:space="preserve"> </w:t>
      </w:r>
      <w:r>
        <w:rPr>
          <w:rFonts w:ascii="Calibri" w:hAnsi="Calibri" w:eastAsia="Calibri"/>
          <w:sz w:val="22"/>
        </w:rPr>
        <w:t xml:space="preserve">Le gérant ne peut, sans l’autorisation préalable écrite de l’Associé unique, accomplir les actes suivants : </w:t>
      </w:r>
      <w:r>
        <w:rPr>
          <w:rFonts w:ascii="Calibri" w:hAnsi="Calibri" w:eastAsia="Calibri"/>
          <w:sz w:val="22"/>
          <w:highlight w:val="yellow"/>
        </w:rPr>
        <w:t>[liste des actes soumis à autorisation]</w:t>
      </w:r>
      <w:r>
        <w:rPr>
          <w:rFonts w:ascii="Calibri" w:hAnsi="Calibri" w:eastAsia="Calibri"/>
          <w:sz w:val="22"/>
        </w:rPr>
        <w:t>.</w:t>
      </w:r>
    </w:p>
    <w:p>
      <w:pPr>
        <w:spacing w:after="120" w:before="0"/>
        <w:jc w:val="both"/>
      </w:pPr>
      <w:r>
        <w:rPr>
          <w:rFonts w:ascii="Calibri" w:hAnsi="Calibri" w:eastAsia="Calibri"/>
          <w:sz w:val="22"/>
        </w:rPr>
        <w:t xml:space="preserve">Le gérant exerce ses fonctions </w:t>
      </w:r>
      <w:r>
        <w:rPr>
          <w:rFonts w:ascii="Calibri" w:hAnsi="Calibri" w:eastAsia="Calibri"/>
          <w:sz w:val="22"/>
          <w:highlight w:val="yellow"/>
        </w:rPr>
        <w:t>[à titre gratuit / moyennant une rémunération fixée par décision de l’Associé unique]</w:t>
      </w:r>
      <w:r>
        <w:rPr>
          <w:rFonts w:ascii="Calibri" w:hAnsi="Calibri" w:eastAsia="Calibri"/>
          <w:sz w:val="22"/>
        </w:rPr>
        <w:t xml:space="preserve">. Il peut démissionner moyennant un préavis de </w:t>
      </w:r>
      <w:r>
        <w:rPr>
          <w:rFonts w:ascii="Calibri" w:hAnsi="Calibri" w:eastAsia="Calibri"/>
          <w:sz w:val="22"/>
          <w:highlight w:val="yellow"/>
        </w:rPr>
        <w:t>[trois mois]</w:t>
      </w:r>
      <w:r>
        <w:rPr>
          <w:rFonts w:ascii="Calibri" w:hAnsi="Calibri" w:eastAsia="Calibri"/>
          <w:sz w:val="22"/>
        </w:rPr>
        <w:t>. Il peut être révoqué par décision de l’Associé unique ; si la révocation est décidée sans juste motif, elle peut donner lieu à des dommages et intérêts. Il est en outre révocable par les tribunaux pour cause légitime, à la demande de tout associé.</w:t>
      </w:r>
    </w:p>
    <w:p>
      <w:pPr>
        <w:spacing w:after="120" w:before="0"/>
        <w:jc w:val="both"/>
      </w:pPr>
      <w:r>
        <w:rPr>
          <w:rFonts w:ascii="Calibri" w:hAnsi="Calibri" w:eastAsia="Calibri"/>
          <w:sz w:val="22"/>
        </w:rPr>
        <w:t>Le gérant est responsable, envers la société ou envers les tiers, des infractions aux dispositions législatives ou réglementaires applicables aux sociétés à responsabilité limitée, des violations des statuts et des fautes commises dans sa gestion.</w:t>
      </w:r>
    </w:p>
    <w:p>
      <w:pPr>
        <w:keepNext/>
        <w:spacing w:after="80" w:before="120"/>
      </w:pPr>
      <w:r>
        <w:rPr>
          <w:rFonts w:ascii="Calibri" w:hAnsi="Calibri" w:eastAsia="Calibri"/>
          <w:b/>
          <w:sz w:val="22"/>
        </w:rPr>
        <w:t>Article 11 — Conventions</w:t>
      </w:r>
    </w:p>
    <w:p>
      <w:pPr>
        <w:spacing w:after="120" w:before="0"/>
        <w:jc w:val="both"/>
      </w:pPr>
      <w:r>
        <w:rPr>
          <w:rFonts w:ascii="Calibri" w:hAnsi="Calibri" w:eastAsia="Calibri"/>
          <w:sz w:val="22"/>
        </w:rPr>
        <w:t>Les conventions intervenues directement ou par personne interposée entre la société et l’Associé unique sont seulement mentionnées au registre des décisions.</w:t>
      </w:r>
    </w:p>
    <w:p>
      <w:pPr>
        <w:spacing w:after="120" w:before="0"/>
        <w:jc w:val="both"/>
      </w:pPr>
      <w:r>
        <w:rPr>
          <w:rFonts w:ascii="Calibri" w:hAnsi="Calibri" w:eastAsia="Calibri"/>
          <w:sz w:val="22"/>
        </w:rPr>
        <w:t>Lorsque le gérant n’est pas l’Associé unique et qu’il n’existe pas de commissaire aux comptes, les conventions conclues par le gérant non associé avec la société sont soumises à l’approbation préalable de l’Associé unique. Lorsqu’il existe un commissaire aux comptes, les conventions conclues avec un gérant non associé font l’objet d’un rapport de celui-ci, sur lequel statue l’Associé unique ; les conventions non approuvées produisent néanmoins leurs effets, à charge pour le gérant d’en supporter les conséquences préjudiciables à la société.</w:t>
      </w:r>
    </w:p>
    <w:p>
      <w:pPr>
        <w:spacing w:after="120" w:before="0"/>
        <w:jc w:val="both"/>
      </w:pPr>
      <w:r>
        <w:rPr>
          <w:rFonts w:ascii="Calibri" w:hAnsi="Calibri" w:eastAsia="Calibri"/>
          <w:sz w:val="22"/>
        </w:rPr>
        <w:t>Ces règles s’étendent aux conventions passées avec une société dont un associé indéfiniment responsable, gérant, administrateur, directeur général, membre du directoire ou membre du conseil de surveillance est simultanément gérant ou associé de la société. Elles ne s’appliquent pas aux conventions portant sur des opérations courantes et conclues à des conditions normales.</w:t>
      </w:r>
    </w:p>
    <w:p>
      <w:pPr>
        <w:keepNext/>
        <w:spacing w:after="160" w:before="240"/>
        <w:jc w:val="center"/>
      </w:pPr>
      <w:r>
        <w:rPr>
          <w:rFonts w:ascii="Calibri" w:hAnsi="Calibri" w:eastAsia="Calibri"/>
          <w:b/>
          <w:sz w:val="23"/>
        </w:rPr>
        <w:t>TITRE IV — DÉCISIONS DE L’ASSOCIÉ UNIQUE</w:t>
      </w:r>
    </w:p>
    <w:p>
      <w:pPr>
        <w:keepNext/>
        <w:spacing w:after="80" w:before="120"/>
      </w:pPr>
      <w:r>
        <w:rPr>
          <w:rFonts w:ascii="Calibri" w:hAnsi="Calibri" w:eastAsia="Calibri"/>
          <w:b/>
          <w:sz w:val="22"/>
        </w:rPr>
        <w:t>Article 12 — Décisions de l’Associé unique</w:t>
      </w:r>
    </w:p>
    <w:p>
      <w:pPr>
        <w:spacing w:after="120" w:before="0"/>
        <w:jc w:val="both"/>
      </w:pPr>
      <w:r>
        <w:rPr>
          <w:rFonts w:ascii="Calibri" w:hAnsi="Calibri" w:eastAsia="Calibri"/>
          <w:sz w:val="22"/>
        </w:rPr>
        <w:t>L’Associé unique exerce les pouvoirs dévolus à l’assemblée des associés ; il ne peut les déléguer. Ses décisions, prises au lieu et place de l’assemblée, relèvent notamment des domaines suivants : approbation des comptes et affectation du résultat ; nomination, rémunération et révocation du gérant ; nomination des commissaires aux comptes ; modification des statuts ; augmentation ou réduction du capital ; transformation, fusion, dissolution.</w:t>
      </w:r>
    </w:p>
    <w:p>
      <w:pPr>
        <w:spacing w:after="120" w:before="0"/>
        <w:jc w:val="both"/>
      </w:pPr>
      <w:r>
        <w:rPr>
          <w:rFonts w:ascii="Calibri" w:hAnsi="Calibri" w:eastAsia="Calibri"/>
          <w:sz w:val="22"/>
        </w:rPr>
        <w:t>Chaque décision de l’Associé unique est consignée par lui sur un registre tenu au siège social, coté et paraphé dans les conditions réglementaires, ou sur des feuilles mobiles numérotées et paraphées, ou sous forme électronique avec une signature électronique avancée et un horodatage. Les décisions prises en violation de ces règles peuvent être annulées à la demande de tout intéressé.</w:t>
      </w:r>
    </w:p>
    <w:p>
      <w:pPr>
        <w:keepNext/>
        <w:spacing w:after="160" w:before="240"/>
        <w:jc w:val="center"/>
      </w:pPr>
      <w:r>
        <w:rPr>
          <w:rFonts w:ascii="Calibri" w:hAnsi="Calibri" w:eastAsia="Calibri"/>
          <w:b/>
          <w:sz w:val="23"/>
        </w:rPr>
        <w:t>TITRE V — EXERCICE SOCIAL — COMPTES — RÉSULTAT</w:t>
      </w:r>
    </w:p>
    <w:p>
      <w:pPr>
        <w:keepNext/>
        <w:spacing w:after="80" w:before="120"/>
      </w:pPr>
      <w:r>
        <w:rPr>
          <w:rFonts w:ascii="Calibri" w:hAnsi="Calibri" w:eastAsia="Calibri"/>
          <w:b/>
          <w:sz w:val="22"/>
        </w:rPr>
        <w:t>Article 13 — Exercice social</w:t>
      </w:r>
    </w:p>
    <w:p>
      <w:pPr>
        <w:spacing w:after="120" w:before="0"/>
        <w:jc w:val="both"/>
      </w:pPr>
      <w:r>
        <w:rPr>
          <w:rFonts w:ascii="Calibri" w:hAnsi="Calibri" w:eastAsia="Calibri"/>
          <w:sz w:val="22"/>
        </w:rPr>
        <w:t xml:space="preserve">L’exercice social commence le </w:t>
      </w:r>
      <w:r>
        <w:rPr>
          <w:rFonts w:ascii="Calibri" w:hAnsi="Calibri" w:eastAsia="Calibri"/>
          <w:sz w:val="22"/>
          <w:highlight w:val="yellow"/>
        </w:rPr>
        <w:t>[1er janvier]</w:t>
      </w:r>
      <w:r>
        <w:rPr>
          <w:rFonts w:ascii="Calibri" w:hAnsi="Calibri" w:eastAsia="Calibri"/>
          <w:sz w:val="22"/>
        </w:rPr>
        <w:t xml:space="preserve"> et se termine le </w:t>
      </w:r>
      <w:r>
        <w:rPr>
          <w:rFonts w:ascii="Calibri" w:hAnsi="Calibri" w:eastAsia="Calibri"/>
          <w:sz w:val="22"/>
          <w:highlight w:val="yellow"/>
        </w:rPr>
        <w:t>[31 décembre]</w:t>
      </w:r>
      <w:r>
        <w:rPr>
          <w:rFonts w:ascii="Calibri" w:hAnsi="Calibri" w:eastAsia="Calibri"/>
          <w:sz w:val="22"/>
        </w:rPr>
        <w:t xml:space="preserve"> de chaque année.</w:t>
      </w:r>
    </w:p>
    <w:p>
      <w:pPr>
        <w:spacing w:after="120" w:before="0"/>
        <w:jc w:val="both"/>
      </w:pPr>
      <w:r>
        <w:rPr>
          <w:rFonts w:ascii="Calibri" w:hAnsi="Calibri" w:eastAsia="Calibri"/>
          <w:sz w:val="22"/>
        </w:rPr>
        <w:t xml:space="preserve">Par exception, le premier exercice commence à la date d’immatriculation de la société au registre du commerce et des sociétés et se termine le </w:t>
      </w:r>
      <w:r>
        <w:rPr>
          <w:rFonts w:ascii="Calibri" w:hAnsi="Calibri" w:eastAsia="Calibri"/>
          <w:sz w:val="22"/>
          <w:highlight w:val="yellow"/>
        </w:rPr>
        <w:t>[date de clôture du premier exercice]</w:t>
      </w:r>
      <w:r>
        <w:rPr>
          <w:rFonts w:ascii="Calibri" w:hAnsi="Calibri" w:eastAsia="Calibri"/>
          <w:sz w:val="22"/>
        </w:rPr>
        <w:t>.</w:t>
      </w:r>
    </w:p>
    <w:p>
      <w:pPr>
        <w:keepNext/>
        <w:spacing w:after="80" w:before="120"/>
      </w:pPr>
      <w:r>
        <w:rPr>
          <w:rFonts w:ascii="Calibri" w:hAnsi="Calibri" w:eastAsia="Calibri"/>
          <w:b/>
          <w:sz w:val="22"/>
        </w:rPr>
        <w:t>Article 14 — Comptes annuels</w:t>
      </w:r>
    </w:p>
    <w:p>
      <w:pPr>
        <w:spacing w:after="120" w:before="0"/>
        <w:jc w:val="both"/>
      </w:pPr>
      <w:r>
        <w:rPr>
          <w:rFonts w:ascii="Calibri" w:hAnsi="Calibri" w:eastAsia="Calibri"/>
          <w:sz w:val="22"/>
        </w:rPr>
        <w:t>À la clôture de chaque exercice, le gérant dresse l’inventaire, établit les comptes annuels et, lorsqu’il est requis, le rapport de gestion. L’Associé unique approuve les comptes, le cas échéant après rapport du commissaire aux comptes, dans le délai de six mois à compter de la clôture de l’exercice.</w:t>
      </w:r>
    </w:p>
    <w:p>
      <w:pPr>
        <w:spacing w:after="120" w:before="0"/>
        <w:jc w:val="both"/>
      </w:pPr>
      <w:r>
        <w:rPr>
          <w:rFonts w:ascii="Calibri" w:hAnsi="Calibri" w:eastAsia="Calibri"/>
          <w:b/>
          <w:sz w:val="22"/>
          <w:highlight w:val="yellow"/>
        </w:rPr>
        <w:t>[Variante A — Associé unique seul gérant]</w:t>
      </w:r>
      <w:r>
        <w:rPr>
          <w:rFonts w:ascii="Calibri" w:hAnsi="Calibri" w:eastAsia="Calibri"/>
          <w:sz w:val="22"/>
        </w:rPr>
        <w:t xml:space="preserve"> Le dépôt au registre du commerce et des sociétés, dans ce délai, de l’inventaire et des comptes annuels dûment signés vaut approbation des comptes.</w:t>
      </w:r>
    </w:p>
    <w:p>
      <w:pPr>
        <w:spacing w:after="120" w:before="0"/>
        <w:jc w:val="both"/>
      </w:pPr>
      <w:r>
        <w:rPr>
          <w:rFonts w:ascii="Calibri" w:hAnsi="Calibri" w:eastAsia="Calibri"/>
          <w:b/>
          <w:sz w:val="22"/>
          <w:highlight w:val="yellow"/>
        </w:rPr>
        <w:t>[Variante B — gérant distinct]</w:t>
      </w:r>
      <w:r>
        <w:rPr>
          <w:rFonts w:ascii="Calibri" w:hAnsi="Calibri" w:eastAsia="Calibri"/>
          <w:sz w:val="22"/>
        </w:rPr>
        <w:t xml:space="preserve"> Le gérant adresse à l’Associé unique le rapport de gestion lorsqu’il est requis, les comptes annuels et, le cas échéant, le rapport du commissaire aux comptes, un mois au moins avant l’expiration du délai de six mois ; l’inventaire est tenu à sa disposition au siège social.</w:t>
      </w:r>
    </w:p>
    <w:p>
      <w:pPr>
        <w:spacing w:after="120" w:before="0"/>
        <w:jc w:val="both"/>
      </w:pPr>
      <w:r>
        <w:rPr>
          <w:rFonts w:ascii="Calibri" w:hAnsi="Calibri" w:eastAsia="Calibri"/>
          <w:sz w:val="22"/>
        </w:rPr>
        <w:t>L’Associé unique peut nommer un commissaire aux comptes ; cette nomination est obligatoire lorsque la société dépasse, à la clôture d’un exercice, deux des trois seuils fixés par décret.</w:t>
      </w:r>
    </w:p>
    <w:p>
      <w:pPr>
        <w:keepNext/>
        <w:spacing w:after="80" w:before="120"/>
      </w:pPr>
      <w:r>
        <w:rPr>
          <w:rFonts w:ascii="Calibri" w:hAnsi="Calibri" w:eastAsia="Calibri"/>
          <w:b/>
          <w:sz w:val="22"/>
        </w:rPr>
        <w:t>Article 15 — Affectation du résultat</w:t>
      </w:r>
    </w:p>
    <w:p>
      <w:pPr>
        <w:spacing w:after="120" w:before="0"/>
        <w:jc w:val="both"/>
      </w:pPr>
      <w:r>
        <w:rPr>
          <w:rFonts w:ascii="Calibri" w:hAnsi="Calibri" w:eastAsia="Calibri"/>
          <w:sz w:val="22"/>
        </w:rPr>
        <w:t>Sur le bénéfice de l’exercice, diminué le cas échéant des pertes antérieures, il est fait un prélèvement d’un vingtième au moins affecté à la formation d’un fonds de réserve dit « réserve légale ». Ce prélèvement cesse d’être obligatoire lorsque la réserve atteint le dixième du capital social ; il reprend son cours lorsque, pour une cause quelconque, la réserve est descendue au-dessous de ce dixième.</w:t>
      </w:r>
    </w:p>
    <w:p>
      <w:pPr>
        <w:spacing w:after="120" w:before="0"/>
        <w:jc w:val="both"/>
      </w:pPr>
      <w:r>
        <w:rPr>
          <w:rFonts w:ascii="Calibri" w:hAnsi="Calibri" w:eastAsia="Calibri"/>
          <w:sz w:val="22"/>
        </w:rPr>
        <w:t>Le bénéfice distribuable est constitué par le bénéfice de l’exercice, diminué des pertes antérieures ainsi que des sommes à porter en réserve en application de la loi ou des statuts, et augmenté du report bénéficiaire.</w:t>
      </w:r>
    </w:p>
    <w:p>
      <w:pPr>
        <w:spacing w:after="120" w:before="0"/>
        <w:jc w:val="both"/>
      </w:pPr>
      <w:r>
        <w:rPr>
          <w:rFonts w:ascii="Calibri" w:hAnsi="Calibri" w:eastAsia="Calibri"/>
          <w:sz w:val="22"/>
        </w:rPr>
        <w:t xml:space="preserve">Après approbation des comptes et constatation de l’existence de sommes distribuables, </w:t>
      </w:r>
      <w:r>
        <w:rPr>
          <w:rFonts w:ascii="Calibri" w:hAnsi="Calibri" w:eastAsia="Calibri"/>
          <w:sz w:val="22"/>
        </w:rPr>
        <w:t>l’Associé unique ou, en cas de pluralité, les associés</w:t>
      </w:r>
      <w:r>
        <w:rPr>
          <w:rFonts w:ascii="Calibri" w:hAnsi="Calibri" w:eastAsia="Calibri"/>
          <w:sz w:val="22"/>
        </w:rPr>
        <w:t xml:space="preserve"> décident de les affecter, en tout ou partie, à un ou plusieurs postes de réserves, de les reporter à nouveau ou de les distribuer. Ils peuvent aussi décider la mise en distribution de sommes prélevées sur les réserves dont ils ont la disposition ; la décision indique alors expressément les postes de réserve sur lesquels les prélèvements sont effectués, les dividendes étant prélevés par priorité sur le bénéfice distribuable de l’exercice.</w:t>
      </w:r>
    </w:p>
    <w:p>
      <w:pPr>
        <w:spacing w:after="120" w:before="0"/>
        <w:jc w:val="both"/>
      </w:pPr>
      <w:r>
        <w:rPr>
          <w:rFonts w:ascii="Calibri" w:hAnsi="Calibri" w:eastAsia="Calibri"/>
          <w:sz w:val="22"/>
        </w:rPr>
        <w:t>Hors le cas de réduction du capital, aucune distribution ne peut être faite lorsque les capitaux propres sont ou deviendraient, à la suite de celle-ci, inférieurs au montant du capital augmenté des réserves que la loi ou les statuts ne permettent pas de distribuer.</w:t>
      </w:r>
    </w:p>
    <w:p>
      <w:pPr>
        <w:spacing w:after="120" w:before="0"/>
        <w:jc w:val="both"/>
      </w:pPr>
      <w:r>
        <w:rPr>
          <w:rFonts w:ascii="Calibri" w:hAnsi="Calibri" w:eastAsia="Calibri"/>
          <w:sz w:val="22"/>
        </w:rPr>
        <w:t xml:space="preserve">Les dividendes sont répartis entre les associés à proportion de leurs droits dans le capital. Les modalités de leur mise en paiement sont fixées par la décision de distribution ou, à défaut, par </w:t>
      </w:r>
      <w:r>
        <w:rPr>
          <w:rFonts w:ascii="Calibri" w:hAnsi="Calibri" w:eastAsia="Calibri"/>
          <w:sz w:val="22"/>
        </w:rPr>
        <w:t>le gérant</w:t>
      </w:r>
      <w:r>
        <w:rPr>
          <w:rFonts w:ascii="Calibri" w:hAnsi="Calibri" w:eastAsia="Calibri"/>
          <w:sz w:val="22"/>
        </w:rPr>
        <w:t>. La mise en paiement doit avoir lieu dans un délai maximal de neuf mois après la clôture de l’exercice, sauf prolongation par décision de justice.</w:t>
      </w:r>
    </w:p>
    <w:p>
      <w:pPr>
        <w:spacing w:after="120" w:before="0"/>
        <w:jc w:val="both"/>
      </w:pPr>
      <w:r>
        <w:rPr>
          <w:rFonts w:ascii="Calibri" w:hAnsi="Calibri" w:eastAsia="Calibri"/>
          <w:sz w:val="22"/>
        </w:rPr>
        <w:t>Des acomptes sur dividendes peuvent être distribués avant l’approbation des comptes de l’exercice dans les conditions prévues par l’article L. 232-12 du code de commerce.</w:t>
      </w:r>
    </w:p>
    <w:p>
      <w:pPr>
        <w:spacing w:after="120" w:before="0"/>
        <w:jc w:val="both"/>
      </w:pPr>
      <w:r>
        <w:rPr>
          <w:rFonts w:ascii="Calibri" w:hAnsi="Calibri" w:eastAsia="Calibri"/>
          <w:sz w:val="22"/>
        </w:rPr>
        <w:t>Les pertes, s’il en existe, sont inscrites au compte « report à nouveau » pour être imputées sur les bénéfices des exercices ultérieurs, jusqu’à apurement.</w:t>
      </w:r>
    </w:p>
    <w:p>
      <w:pPr>
        <w:keepNext/>
        <w:spacing w:after="80" w:before="120"/>
      </w:pPr>
      <w:r>
        <w:rPr>
          <w:rFonts w:ascii="Calibri" w:hAnsi="Calibri" w:eastAsia="Calibri"/>
          <w:b/>
          <w:sz w:val="22"/>
        </w:rPr>
        <w:t>Article 16 — Capitaux propres inférieurs à la moitié du capital</w:t>
      </w:r>
    </w:p>
    <w:p>
      <w:pPr>
        <w:spacing w:after="120" w:before="0"/>
        <w:jc w:val="both"/>
      </w:pPr>
      <w:r>
        <w:rPr>
          <w:rFonts w:ascii="Calibri" w:hAnsi="Calibri" w:eastAsia="Calibri"/>
          <w:sz w:val="22"/>
        </w:rPr>
        <w:t>Si, du fait de pertes constatées dans les documents comptables, les capitaux propres deviennent inférieurs à la moitié du capital social, l’Associé unique décide, dans les quatre mois qui suivent l’approbation des comptes ayant fait apparaître cette perte, s’il y a lieu à dissolution anticipée ; à défaut de dissolution, la société régularise sa situation dans les délais et conditions prévus par l’article L. 223-42 du code de commerce.</w:t>
      </w:r>
    </w:p>
    <w:p>
      <w:pPr>
        <w:keepNext/>
        <w:spacing w:after="160" w:before="240"/>
        <w:jc w:val="center"/>
      </w:pPr>
      <w:r>
        <w:rPr>
          <w:rFonts w:ascii="Calibri" w:hAnsi="Calibri" w:eastAsia="Calibri"/>
          <w:b/>
          <w:sz w:val="23"/>
        </w:rPr>
        <w:t>TITRE VI — DISSOLUTION — LIQUIDATION — CONTESTATIONS</w:t>
      </w:r>
    </w:p>
    <w:p>
      <w:pPr>
        <w:keepNext/>
        <w:spacing w:after="80" w:before="120"/>
      </w:pPr>
      <w:r>
        <w:rPr>
          <w:rFonts w:ascii="Calibri" w:hAnsi="Calibri" w:eastAsia="Calibri"/>
          <w:b/>
          <w:sz w:val="22"/>
        </w:rPr>
        <w:t>Article 17 — Dissolution — Liquidation</w:t>
      </w:r>
    </w:p>
    <w:p>
      <w:pPr>
        <w:spacing w:after="120" w:before="0"/>
        <w:jc w:val="both"/>
      </w:pPr>
      <w:r>
        <w:rPr>
          <w:rFonts w:ascii="Calibri" w:hAnsi="Calibri" w:eastAsia="Calibri"/>
          <w:sz w:val="22"/>
        </w:rPr>
        <w:t>Outre les causes de dissolution prévues par la loi, la dissolution anticipée peut être décidée par l’Associé unique.</w:t>
      </w:r>
    </w:p>
    <w:p>
      <w:pPr>
        <w:spacing w:after="60" w:before="0"/>
        <w:jc w:val="both"/>
      </w:pPr>
      <w:r>
        <w:rPr>
          <w:rFonts w:ascii="Calibri" w:hAnsi="Calibri" w:eastAsia="Calibri"/>
          <w:sz w:val="22"/>
        </w:rPr>
        <w:t xml:space="preserve">☐ </w:t>
      </w:r>
      <w:r>
        <w:rPr>
          <w:rFonts w:ascii="Calibri" w:hAnsi="Calibri" w:eastAsia="Calibri"/>
          <w:b/>
          <w:sz w:val="22"/>
          <w:highlight w:val="yellow"/>
        </w:rPr>
        <w:t>[Variante A — Associé unique personne physique]</w:t>
      </w:r>
      <w:r>
        <w:rPr>
          <w:rFonts w:ascii="Calibri" w:hAnsi="Calibri" w:eastAsia="Calibri"/>
          <w:sz w:val="22"/>
        </w:rPr>
        <w:t xml:space="preserve"> La dissolution entraîne la liquidation de la société. L’Associé unique nomme un ou plusieurs liquidateurs, dont le mandat ne peut excéder trois ans, sauf renouvellement. La dénomination est suivie de la mention « société en liquidation » et la personnalité morale subsiste pour les besoins de la liquidation jusqu’à la publication de sa clôture. Le boni de liquidation est attribué à l’Associé unique.</w:t>
      </w:r>
    </w:p>
    <w:p>
      <w:pPr>
        <w:spacing w:after="60" w:before="0"/>
        <w:jc w:val="both"/>
      </w:pPr>
      <w:r>
        <w:rPr>
          <w:rFonts w:ascii="Calibri" w:hAnsi="Calibri" w:eastAsia="Calibri"/>
          <w:sz w:val="22"/>
        </w:rPr>
        <w:t xml:space="preserve">☐ </w:t>
      </w:r>
      <w:r>
        <w:rPr>
          <w:rFonts w:ascii="Calibri" w:hAnsi="Calibri" w:eastAsia="Calibri"/>
          <w:b/>
          <w:sz w:val="22"/>
          <w:highlight w:val="yellow"/>
        </w:rPr>
        <w:t>[Variante B — Associé unique personne morale]</w:t>
      </w:r>
      <w:r>
        <w:rPr>
          <w:rFonts w:ascii="Calibri" w:hAnsi="Calibri" w:eastAsia="Calibri"/>
          <w:sz w:val="22"/>
        </w:rPr>
        <w:t xml:space="preserve"> La dissolution entraîne la transmission universelle du patrimoine de la société à l’Associé unique, sans qu’il y ait lieu à liquidation, dans les conditions prévues par l’article 1844-5 du code civil, notamment le droit d’opposition des créanciers dans les trente jours de la publication de la dissolution.</w:t>
      </w:r>
    </w:p>
    <w:p>
      <w:pPr>
        <w:keepNext/>
        <w:spacing w:after="80" w:before="120"/>
      </w:pPr>
      <w:r>
        <w:rPr>
          <w:rFonts w:ascii="Calibri" w:hAnsi="Calibri" w:eastAsia="Calibri"/>
          <w:b/>
          <w:sz w:val="22"/>
        </w:rPr>
        <w:t>Article 18 — Contestations</w:t>
      </w:r>
    </w:p>
    <w:p>
      <w:pPr>
        <w:spacing w:after="120" w:before="0"/>
        <w:jc w:val="both"/>
      </w:pPr>
      <w:r>
        <w:rPr>
          <w:rFonts w:ascii="Calibri" w:hAnsi="Calibri" w:eastAsia="Calibri"/>
          <w:sz w:val="22"/>
        </w:rPr>
        <w:t>Toutes les contestations relatives aux affaires sociales qui pourraient s’élever pendant la durée de la société ou lors de sa liquidation sont soumises aux juridictions compétentes du lieu du siège social.</w:t>
      </w:r>
    </w:p>
    <w:p>
      <w:pPr>
        <w:keepNext/>
        <w:spacing w:after="160" w:before="240"/>
        <w:jc w:val="center"/>
      </w:pPr>
      <w:r>
        <w:rPr>
          <w:rFonts w:ascii="Calibri" w:hAnsi="Calibri" w:eastAsia="Calibri"/>
          <w:b/>
          <w:sz w:val="23"/>
        </w:rPr>
        <w:t>TITRE VII — DISPOSITIONS TRANSITOIRES ET FINALES</w:t>
      </w:r>
    </w:p>
    <w:p>
      <w:pPr>
        <w:keepNext/>
        <w:spacing w:after="80" w:before="120"/>
      </w:pPr>
      <w:r>
        <w:rPr>
          <w:rFonts w:ascii="Calibri" w:hAnsi="Calibri" w:eastAsia="Calibri"/>
          <w:b/>
          <w:sz w:val="22"/>
        </w:rPr>
        <w:t>Article 19 — Nomination du premier gérant</w:t>
      </w:r>
    </w:p>
    <w:p>
      <w:pPr>
        <w:spacing w:after="120" w:before="0"/>
        <w:jc w:val="both"/>
      </w:pPr>
      <w:r>
        <w:rPr>
          <w:rFonts w:ascii="Calibri" w:hAnsi="Calibri" w:eastAsia="Calibri"/>
          <w:sz w:val="22"/>
        </w:rPr>
        <w:t xml:space="preserve">Est nommé(e) premier gérant de la société, pour une durée </w:t>
      </w:r>
      <w:r>
        <w:rPr>
          <w:rFonts w:ascii="Calibri" w:hAnsi="Calibri" w:eastAsia="Calibri"/>
          <w:sz w:val="22"/>
          <w:highlight w:val="yellow"/>
        </w:rPr>
        <w:t>[indéterminée / de … années]</w:t>
      </w:r>
      <w:r>
        <w:rPr>
          <w:rFonts w:ascii="Calibri" w:hAnsi="Calibri" w:eastAsia="Calibri"/>
          <w:sz w:val="22"/>
        </w:rPr>
        <w:t xml:space="preserve"> : </w:t>
      </w:r>
      <w:r>
        <w:rPr>
          <w:rFonts w:ascii="Calibri" w:hAnsi="Calibri" w:eastAsia="Calibri"/>
          <w:sz w:val="22"/>
          <w:highlight w:val="yellow"/>
        </w:rPr>
        <w:t>[l’Associé unique / Prénom NOM, né(e) le … à …, de nationalité …, demeurant …]</w:t>
      </w:r>
      <w:r>
        <w:rPr>
          <w:rFonts w:ascii="Calibri" w:hAnsi="Calibri" w:eastAsia="Calibri"/>
          <w:sz w:val="22"/>
        </w:rPr>
        <w:t xml:space="preserve">, qui exerce ses fonctions </w:t>
      </w:r>
      <w:r>
        <w:rPr>
          <w:rFonts w:ascii="Calibri" w:hAnsi="Calibri" w:eastAsia="Calibri"/>
          <w:sz w:val="22"/>
          <w:highlight w:val="yellow"/>
        </w:rPr>
        <w:t>[à titre gratuit / moyennant une rémunération fixée par décision ultérieure de l’Associé unique]</w:t>
      </w:r>
      <w:r>
        <w:rPr>
          <w:rFonts w:ascii="Calibri" w:hAnsi="Calibri" w:eastAsia="Calibri"/>
          <w:sz w:val="22"/>
        </w:rPr>
        <w:t>, déclare les accepter et n’être frappé(e) d’aucune incompatibilité, interdiction ou déchéance susceptible d’en empêcher l’exercice.</w:t>
      </w:r>
    </w:p>
    <w:p>
      <w:pPr>
        <w:keepNext/>
        <w:spacing w:after="80" w:before="120"/>
      </w:pPr>
      <w:r>
        <w:rPr>
          <w:rFonts w:ascii="Calibri" w:hAnsi="Calibri" w:eastAsia="Calibri"/>
          <w:b/>
          <w:sz w:val="22"/>
        </w:rPr>
        <w:t>Article 20 — Actes accomplis pour le compte de la société en formation</w:t>
      </w:r>
    </w:p>
    <w:p>
      <w:pPr>
        <w:spacing w:after="120" w:before="0"/>
        <w:jc w:val="both"/>
      </w:pPr>
      <w:r>
        <w:rPr>
          <w:rFonts w:ascii="Calibri" w:hAnsi="Calibri" w:eastAsia="Calibri"/>
          <w:sz w:val="22"/>
        </w:rPr>
        <w:t>Un état des actes accomplis pour le compte de la société en formation, avec l’indication, pour chacun d’eux, de l’engagement qui en résulterait pour la société, est annexé aux présents statuts (annexe 1). La signature des statuts emportera reprise de ces engagements par la société lorsque celle-ci aura été immatriculée au registre du commerce et des sociétés.</w:t>
      </w:r>
    </w:p>
    <w:p>
      <w:pPr>
        <w:spacing w:after="120" w:before="0"/>
        <w:jc w:val="both"/>
      </w:pPr>
      <w:r>
        <w:rPr>
          <w:rFonts w:ascii="Calibri" w:hAnsi="Calibri" w:eastAsia="Calibri"/>
          <w:b/>
          <w:sz w:val="22"/>
          <w:highlight w:val="yellow"/>
        </w:rPr>
        <w:t>[Option — mandat]</w:t>
      </w:r>
      <w:r>
        <w:rPr>
          <w:rFonts w:ascii="Calibri" w:hAnsi="Calibri" w:eastAsia="Calibri"/>
          <w:sz w:val="22"/>
        </w:rPr>
        <w:t xml:space="preserve"> </w:t>
      </w:r>
      <w:r>
        <w:rPr>
          <w:rFonts w:ascii="Calibri" w:hAnsi="Calibri" w:eastAsia="Calibri"/>
          <w:sz w:val="22"/>
        </w:rPr>
        <w:t xml:space="preserve">L’Associé unique donne mandat à </w:t>
      </w:r>
      <w:r>
        <w:rPr>
          <w:rFonts w:ascii="Calibri" w:hAnsi="Calibri" w:eastAsia="Calibri"/>
          <w:sz w:val="22"/>
          <w:highlight w:val="yellow"/>
        </w:rPr>
        <w:t>[Prénom NOM, gérant désigné à l’article …]</w:t>
      </w:r>
      <w:r>
        <w:rPr>
          <w:rFonts w:ascii="Calibri" w:hAnsi="Calibri" w:eastAsia="Calibri"/>
          <w:sz w:val="22"/>
        </w:rPr>
        <w:t xml:space="preserve"> de prendre, pour le compte de la société en formation, les engagements déterminés suivants : </w:t>
      </w:r>
      <w:r>
        <w:rPr>
          <w:rFonts w:ascii="Calibri" w:hAnsi="Calibri" w:eastAsia="Calibri"/>
          <w:sz w:val="22"/>
          <w:highlight w:val="yellow"/>
        </w:rPr>
        <w:t>[nature, objet, montant maximal]</w:t>
      </w:r>
      <w:r>
        <w:rPr>
          <w:rFonts w:ascii="Calibri" w:hAnsi="Calibri" w:eastAsia="Calibri"/>
          <w:sz w:val="22"/>
        </w:rPr>
        <w:t>. L’immatriculation emportera reprise de ces engagements.</w:t>
      </w:r>
    </w:p>
    <w:p>
      <w:pPr>
        <w:keepNext/>
        <w:spacing w:after="80" w:before="120"/>
      </w:pPr>
      <w:r>
        <w:rPr>
          <w:rFonts w:ascii="Calibri" w:hAnsi="Calibri" w:eastAsia="Calibri"/>
          <w:b/>
          <w:sz w:val="22"/>
        </w:rPr>
        <w:t>Article 21 — Personnalité morale</w:t>
      </w:r>
    </w:p>
    <w:p>
      <w:pPr>
        <w:spacing w:after="120" w:before="0"/>
        <w:jc w:val="both"/>
      </w:pPr>
      <w:r>
        <w:rPr>
          <w:rFonts w:ascii="Calibri" w:hAnsi="Calibri" w:eastAsia="Calibri"/>
          <w:sz w:val="22"/>
        </w:rPr>
        <w:t>La société jouira de la personnalité morale à compter de son immatriculation au registre du commerce et des sociétés.</w:t>
      </w:r>
    </w:p>
    <w:p>
      <w:pPr>
        <w:keepNext/>
        <w:spacing w:after="80" w:before="120"/>
      </w:pPr>
      <w:r>
        <w:rPr>
          <w:rFonts w:ascii="Calibri" w:hAnsi="Calibri" w:eastAsia="Calibri"/>
          <w:b/>
          <w:sz w:val="22"/>
        </w:rPr>
        <w:t>Article 22 — Frais</w:t>
      </w:r>
    </w:p>
    <w:p>
      <w:pPr>
        <w:spacing w:after="120" w:before="0"/>
        <w:jc w:val="both"/>
      </w:pPr>
      <w:r>
        <w:rPr>
          <w:rFonts w:ascii="Calibri" w:hAnsi="Calibri" w:eastAsia="Calibri"/>
          <w:sz w:val="22"/>
        </w:rPr>
        <w:t xml:space="preserve">Les frais, droits et honoraires afférents aux présents statuts et à leurs suites sont pris en charge par la société dès son immatriculation ; ils sont </w:t>
      </w:r>
      <w:r>
        <w:rPr>
          <w:rFonts w:ascii="Calibri" w:hAnsi="Calibri" w:eastAsia="Calibri"/>
          <w:sz w:val="22"/>
          <w:highlight w:val="yellow"/>
        </w:rPr>
        <w:t>[portés en charges / amortis]</w:t>
      </w:r>
      <w:r>
        <w:rPr>
          <w:rFonts w:ascii="Calibri" w:hAnsi="Calibri" w:eastAsia="Calibri"/>
          <w:sz w:val="22"/>
        </w:rPr>
        <w:t xml:space="preserve"> dans les conditions prévues par la réglementation comptable et fiscale.</w:t>
      </w:r>
    </w:p>
    <w:p>
      <w:pPr>
        <w:keepNext/>
        <w:spacing w:after="80" w:before="120"/>
      </w:pPr>
      <w:r>
        <w:rPr>
          <w:rFonts w:ascii="Calibri" w:hAnsi="Calibri" w:eastAsia="Calibri"/>
          <w:b/>
          <w:sz w:val="22"/>
        </w:rPr>
        <w:t>Article 23 — Formalités — Pouvoirs</w:t>
      </w:r>
    </w:p>
    <w:p>
      <w:pPr>
        <w:spacing w:after="120" w:before="0"/>
        <w:jc w:val="both"/>
      </w:pPr>
      <w:r>
        <w:rPr>
          <w:rFonts w:ascii="Calibri" w:hAnsi="Calibri" w:eastAsia="Calibri"/>
          <w:sz w:val="22"/>
        </w:rPr>
        <w:t xml:space="preserve">Tous pouvoirs sont conférés </w:t>
      </w:r>
      <w:r>
        <w:rPr>
          <w:rFonts w:ascii="Calibri" w:hAnsi="Calibri" w:eastAsia="Calibri"/>
          <w:sz w:val="22"/>
        </w:rPr>
        <w:t>au gérant</w:t>
      </w:r>
      <w:r>
        <w:rPr>
          <w:rFonts w:ascii="Calibri" w:hAnsi="Calibri" w:eastAsia="Calibri"/>
          <w:sz w:val="22"/>
        </w:rPr>
        <w:t>, ainsi qu’au porteur d’un original, d’une copie ou d’un extrait des présents statuts, pour accomplir les formalités de publicité, de dépôt et d’immatriculation, notamment par l’intermédiaire du guichet unique des formalités d’entreprises, et pour signer à cet effet tout document utile, y compris la déclaration des bénéficiaires effectifs.</w:t>
      </w:r>
    </w:p>
    <w:p>
      <w:pPr>
        <w:keepNext/>
        <w:spacing w:after="160" w:before="240"/>
        <w:jc w:val="center"/>
      </w:pPr>
      <w:r>
        <w:rPr>
          <w:rFonts w:ascii="Calibri" w:hAnsi="Calibri" w:eastAsia="Calibri"/>
          <w:b/>
          <w:sz w:val="23"/>
        </w:rPr>
        <w:t>SIGNATURES</w:t>
      </w:r>
    </w:p>
    <w:p>
      <w:pPr>
        <w:spacing w:after="20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rPr>
        <w:t xml:space="preserve">en </w:t>
      </w:r>
      <w:r>
        <w:rPr>
          <w:rFonts w:ascii="Calibri" w:hAnsi="Calibri" w:eastAsia="Calibri"/>
          <w:sz w:val="22"/>
          <w:highlight w:val="yellow"/>
        </w:rPr>
        <w:t>[nombre]</w:t>
      </w:r>
      <w:r>
        <w:rPr>
          <w:rFonts w:ascii="Calibri" w:hAnsi="Calibri" w:eastAsia="Calibri"/>
          <w:sz w:val="22"/>
        </w:rPr>
        <w:t xml:space="preserve"> originaux, dont un pour le dépôt au siège social et les autres pour l’exécution des formalités requises.</w:t>
      </w:r>
    </w:p>
    <w:tbl>
      <w:tblPr>
        <w:tblStyle w:val="TableGrid"/>
        <w:tblW w:type="auto" w:w="0"/>
        <w:tblLayout w:type="fixed"/>
        <w:tblLook w:firstColumn="1" w:firstRow="1" w:lastColumn="0" w:lastRow="0" w:noHBand="0" w:noVBand="1" w:val="04A0"/>
      </w:tblPr>
      <w:tblGrid>
        <w:gridCol w:w="5385"/>
        <w:gridCol w:w="3911"/>
      </w:tblGrid>
      <w:tr>
        <w:tc>
          <w:tcPr>
            <w:tcW w:type="dxa" w:w="5386"/>
            <w:shd w:val="clear" w:color="auto" w:fill="E8EEF4"/>
          </w:tcPr>
          <w:p>
            <w:pPr>
              <w:spacing w:after="40" w:before="0"/>
            </w:pPr>
            <w:r>
              <w:rPr>
                <w:rFonts w:ascii="Calibri" w:hAnsi="Calibri" w:eastAsia="Calibri"/>
                <w:b/>
                <w:sz w:val="19"/>
              </w:rPr>
              <w:t>Associé (identité et, le cas échéant, qualité)</w:t>
            </w:r>
          </w:p>
        </w:tc>
        <w:tc>
          <w:tcPr>
            <w:tcW w:type="dxa" w:w="3912"/>
            <w:shd w:val="clear" w:color="auto" w:fill="E8EEF4"/>
          </w:tcPr>
          <w:p>
            <w:pPr>
              <w:spacing w:after="40" w:before="0"/>
            </w:pPr>
            <w:r>
              <w:rPr>
                <w:rFonts w:ascii="Calibri" w:hAnsi="Calibri" w:eastAsia="Calibri"/>
                <w:b/>
                <w:sz w:val="19"/>
              </w:rPr>
              <w:t>Signature</w:t>
            </w:r>
          </w:p>
        </w:tc>
      </w:tr>
      <w:tr>
        <w:tc>
          <w:tcPr>
            <w:tcW w:type="dxa" w:w="5386"/>
          </w:tcPr>
          <w:p>
            <w:pPr>
              <w:spacing w:after="40" w:before="0"/>
            </w:pPr>
            <w:r>
              <w:rPr>
                <w:rFonts w:ascii="Calibri" w:hAnsi="Calibri" w:eastAsia="Calibri"/>
                <w:sz w:val="19"/>
                <w:highlight w:val="yellow"/>
              </w:rPr>
              <w:t>[Prénom NOM / dénomination représentée par …]</w:t>
            </w:r>
            <w:r>
              <w:rPr>
                <w:rFonts w:ascii="Calibri" w:hAnsi="Calibri" w:eastAsia="Calibri"/>
                <w:sz w:val="19"/>
              </w:rPr>
              <w:t>, Associé unique</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[Prénom NOM]</w:t>
            </w:r>
            <w:r>
              <w:rPr>
                <w:rFonts w:ascii="Calibri" w:hAnsi="Calibri" w:eastAsia="Calibri"/>
                <w:sz w:val="19"/>
              </w:rPr>
              <w:t>, conjoint intervenant (article 1832-2 du code civil), le cas échéant</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[Prénom NOM]</w:t>
            </w:r>
            <w:r>
              <w:rPr>
                <w:rFonts w:ascii="Calibri" w:hAnsi="Calibri" w:eastAsia="Calibri"/>
                <w:sz w:val="19"/>
              </w:rPr>
              <w:t>, gérant, s’il n’est pas l’Associé unique</w:t>
            </w:r>
          </w:p>
        </w:tc>
        <w:tc>
          <w:tcPr>
            <w:tcW w:type="dxa" w:w="3912"/>
          </w:tcPr>
          <w:p>
            <w:pPr>
              <w:spacing w:after="40" w:before="0"/>
            </w:pPr>
            <w:r>
              <w:rPr>
                <w:rFonts w:ascii="Calibri" w:hAnsi="Calibri" w:eastAsia="Calibri"/>
                <w:sz w:val="19"/>
                <w:highlight w:val="yellow"/>
              </w:rPr>
              <w:t>[signature précédée de la mention « Bon pour acceptation des fonctions de gérant »]</w:t>
            </w:r>
          </w:p>
        </w:tc>
      </w:tr>
    </w:tbl>
    <w:p>
      <w:pPr>
        <w:spacing w:after="160"/>
      </w:pPr>
    </w:p>
    <w:p>
      <w:r>
        <w:br w:type="page"/>
      </w:r>
    </w:p>
    <w:p>
      <w:pPr>
        <w:spacing w:after="80" w:before="0"/>
        <w:jc w:val="center"/>
      </w:pPr>
      <w:r>
        <w:rPr>
          <w:rFonts w:ascii="Calibri" w:hAnsi="Calibri" w:eastAsia="Calibri"/>
          <w:b/>
          <w:sz w:val="23"/>
        </w:rPr>
        <w:t>ANNEXE 1 — ÉTAT DES ACTES ACCOMPLIS POUR LE COMPTE DE LA SOCIÉTÉ EN FORMATION</w:t>
      </w:r>
    </w:p>
    <w:p>
      <w:pPr>
        <w:spacing w:after="160" w:before="0"/>
        <w:jc w:val="both"/>
      </w:pPr>
      <w:r>
        <w:rPr>
          <w:rFonts w:ascii="Calibri" w:hAnsi="Calibri" w:eastAsia="Calibri"/>
          <w:i/>
          <w:color w:val="4B5563"/>
          <w:sz w:val="22"/>
        </w:rPr>
        <w:t>À établir avant la signature des statuts et à annexer à chaque original ; si aucun acte n’a été accompli, indiquez « Néant » ou supprimez la présente annexe et l’article correspondant.</w:t>
      </w:r>
    </w:p>
    <w:tbl>
      <w:tblPr>
        <w:tblStyle w:val="TableGrid"/>
        <w:tblW w:type="auto" w:w="0"/>
        <w:tblLayout w:type="fixed"/>
        <w:tblLook w:firstColumn="1" w:firstRow="1" w:lastColumn="0" w:lastRow="0" w:noHBand="0" w:noVBand="1" w:val="04A0"/>
      </w:tblPr>
      <w:tblGrid>
        <w:gridCol w:w="1360"/>
        <w:gridCol w:w="3401"/>
        <w:gridCol w:w="1927"/>
        <w:gridCol w:w="2607"/>
      </w:tblGrid>
      <w:tr>
        <w:tc>
          <w:tcPr>
            <w:tcW w:type="dxa" w:w="1361"/>
            <w:shd w:val="clear" w:color="auto" w:fill="E8EEF4"/>
          </w:tcPr>
          <w:p>
            <w:pPr>
              <w:spacing w:after="40" w:before="0"/>
            </w:pPr>
            <w:r>
              <w:rPr>
                <w:rFonts w:ascii="Calibri" w:hAnsi="Calibri" w:eastAsia="Calibri"/>
                <w:b/>
                <w:sz w:val="19"/>
              </w:rPr>
              <w:t>Date</w:t>
            </w:r>
          </w:p>
        </w:tc>
        <w:tc>
          <w:tcPr>
            <w:tcW w:type="dxa" w:w="3402"/>
            <w:shd w:val="clear" w:color="auto" w:fill="E8EEF4"/>
          </w:tcPr>
          <w:p>
            <w:pPr>
              <w:spacing w:after="40" w:before="0"/>
            </w:pPr>
            <w:r>
              <w:rPr>
                <w:rFonts w:ascii="Calibri" w:hAnsi="Calibri" w:eastAsia="Calibri"/>
                <w:b/>
                <w:sz w:val="19"/>
              </w:rPr>
              <w:t>Nature et objet de l’acte</w:t>
            </w:r>
          </w:p>
        </w:tc>
        <w:tc>
          <w:tcPr>
            <w:tcW w:type="dxa" w:w="1928"/>
            <w:shd w:val="clear" w:color="auto" w:fill="E8EEF4"/>
          </w:tcPr>
          <w:p>
            <w:pPr>
              <w:spacing w:after="40" w:before="0"/>
            </w:pPr>
            <w:r>
              <w:rPr>
                <w:rFonts w:ascii="Calibri" w:hAnsi="Calibri" w:eastAsia="Calibri"/>
                <w:b/>
                <w:sz w:val="19"/>
              </w:rPr>
              <w:t>Cocontractant</w:t>
            </w:r>
          </w:p>
        </w:tc>
        <w:tc>
          <w:tcPr>
            <w:tcW w:type="dxa" w:w="2608"/>
            <w:shd w:val="clear" w:color="auto" w:fill="E8EEF4"/>
          </w:tcPr>
          <w:p>
            <w:pPr>
              <w:spacing w:after="40" w:before="0"/>
            </w:pPr>
            <w:r>
              <w:rPr>
                <w:rFonts w:ascii="Calibri" w:hAnsi="Calibri" w:eastAsia="Calibri"/>
                <w:b/>
                <w:sz w:val="19"/>
              </w:rPr>
              <w:t>Engagement qui en résulte pour la société</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ouverture du compte de dépôt des fonds auprès de …]</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frais de tenue de compte]</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bail commercial / contrat de domiciliation du …]</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loyer de … € par mois]</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commande de matériel, réservation d’un nom de domaine…]</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prix de … € TTC]</w:t>
            </w:r>
          </w:p>
        </w:tc>
      </w:tr>
    </w:tbl>
    <w:p>
      <w:pPr>
        <w:spacing w:after="160"/>
      </w:pPr>
    </w:p>
    <w:p>
      <w:pPr>
        <w:spacing w:after="80" w:before="0"/>
      </w:pPr>
      <w:r>
        <w:rPr>
          <w:rFonts w:ascii="Calibri" w:hAnsi="Calibri" w:eastAsia="Calibri"/>
          <w:sz w:val="22"/>
        </w:rPr>
        <w:t xml:space="preserve">Certifié exact par les soussignés, le </w:t>
      </w:r>
      <w:r>
        <w:rPr>
          <w:rFonts w:ascii="Calibri" w:hAnsi="Calibri" w:eastAsia="Calibri"/>
          <w:sz w:val="22"/>
          <w:highlight w:val="yellow"/>
        </w:rPr>
        <w:t>[date]</w:t>
      </w:r>
      <w:r>
        <w:rPr>
          <w:rFonts w:ascii="Calibri" w:hAnsi="Calibri" w:eastAsia="Calibri"/>
          <w:sz w:val="22"/>
        </w:rPr>
        <w:t>.</w:t>
      </w:r>
    </w:p>
    <w:p>
      <w:pPr>
        <w:spacing w:after="240" w:before="0"/>
      </w:pPr>
      <w:r>
        <w:rPr>
          <w:rFonts w:ascii="Calibri" w:hAnsi="Calibri" w:eastAsia="Calibri"/>
          <w:sz w:val="22"/>
          <w:highlight w:val="yellow"/>
        </w:rPr>
        <w:t>[Signature de l’Associé unique]</w:t>
      </w:r>
    </w:p>
    <w:p>
      <w:pPr>
        <w:spacing w:after="80" w:before="0"/>
        <w:jc w:val="both"/>
      </w:pPr>
      <w:r>
        <w:rPr>
          <w:rFonts w:ascii="Calibri" w:hAnsi="Calibri" w:eastAsia="Calibri"/>
          <w:b/>
          <w:sz w:val="22"/>
        </w:rPr>
        <w:t xml:space="preserve">Annexe 2 (le cas échéant) — </w:t>
      </w:r>
      <w:r>
        <w:rPr>
          <w:rFonts w:ascii="Calibri" w:hAnsi="Calibri" w:eastAsia="Calibri"/>
          <w:sz w:val="22"/>
        </w:rPr>
        <w:t>Rapport du commissaire aux apports sur l’évaluation des apports en 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Un modèle de statuts types existe pour l’EURL dont l’associé unique, personne physique, assume personnellement la gérance ; le guichet unique le met gratuitement à disposition et il s’applique si l’intéressé ne produit pas d’autres statuts (C. com., art. L. 223-1 et D. 223-2). Le présent modèle, plus complet, couvre aussi l’associé personne morale et le gérant tiers.</w:t>
      </w:r>
    </w:p>
    <w:p>
      <w:pPr>
        <w:spacing w:after="100" w:before="0"/>
        <w:jc w:val="both"/>
      </w:pPr>
      <w:r>
        <w:rPr>
          <w:rFonts w:ascii="Calibri" w:hAnsi="Calibri" w:eastAsia="Calibri"/>
          <w:color w:val="374151"/>
          <w:sz w:val="20"/>
        </w:rPr>
        <w:t>• La loi parle de « société à responsabilité limitée » ou « SARL » ; « EURL » est une appellation d’usage. Utilisez donc, sur les documents de la société, la mention « SARL » ou « société à responsabilité limitée » suivie du capital (C. com., art. L. 223-1).</w:t>
      </w:r>
    </w:p>
    <w:p>
      <w:pPr>
        <w:spacing w:after="100" w:before="0"/>
        <w:jc w:val="both"/>
      </w:pPr>
      <w:r>
        <w:rPr>
          <w:rFonts w:ascii="Calibri" w:hAnsi="Calibri" w:eastAsia="Calibri"/>
          <w:color w:val="374151"/>
          <w:sz w:val="20"/>
        </w:rPr>
        <w:t>• Le gérant est obligatoirement une personne physique ; l’associé unique peut être une personne physique ou morale. L’associé unique ne peut déléguer ses pouvoirs et ses décisions sont consignées dans un registre (C. com., art. L. 223-31 et R. 223-26).</w:t>
      </w:r>
    </w:p>
    <w:p>
      <w:pPr>
        <w:spacing w:after="100" w:before="0"/>
        <w:jc w:val="both"/>
      </w:pPr>
      <w:r>
        <w:rPr>
          <w:rFonts w:ascii="Calibri" w:hAnsi="Calibri" w:eastAsia="Calibri"/>
          <w:color w:val="374151"/>
          <w:sz w:val="20"/>
        </w:rPr>
        <w:t>• Apports : un cinquième au moins des apports en numéraire est libéré à la constitution, le solde dans les cinq ans. Le commissaire aux apports est désigné par l’associé unique ; il n’est pas obligatoire si les conditions de dispense sont réunies ou si l’associé unique, entrepreneur individuel, apporte des éléments figurant au bilan de son dernier exercice (C. com., art. L. 223-9). Si vous êtes marié(e) sous un régime de communauté, faites intervenir votre conjoint (C. civ., art. 1832-2).</w:t>
      </w:r>
    </w:p>
    <w:p>
      <w:pPr>
        <w:spacing w:after="100" w:before="0"/>
        <w:jc w:val="both"/>
      </w:pPr>
      <w:r>
        <w:rPr>
          <w:rFonts w:ascii="Calibri" w:hAnsi="Calibri" w:eastAsia="Calibri"/>
          <w:color w:val="374151"/>
          <w:sz w:val="20"/>
        </w:rPr>
        <w:t>• Fiscalité : lorsque l’associé unique est une personne physique, l’EURL relève de l’impôt sur le revenu, sauf option pour l’impôt sur les sociétés, notifiée avant la fin du troisième mois de l’exercice concerné ; lorsque l’associé unique est une personne morale, elle relève de l’impôt sur les sociétés.</w:t>
      </w:r>
    </w:p>
    <w:p>
      <w:pPr>
        <w:spacing w:after="100" w:before="0"/>
        <w:jc w:val="both"/>
      </w:pPr>
      <w:r>
        <w:rPr>
          <w:rFonts w:ascii="Calibri" w:hAnsi="Calibri" w:eastAsia="Calibri"/>
          <w:color w:val="374151"/>
          <w:sz w:val="20"/>
        </w:rPr>
        <w:t>• Protection sociale : le gérant associé unique relève du régime des travailleurs indépendants et doit des cotisations minimales même sans rémunération ; le gérant non associé rémunéré est assimilé salarié (service-public.fr).</w:t>
      </w:r>
    </w:p>
    <w:p>
      <w:pPr>
        <w:spacing w:after="100" w:before="0"/>
        <w:jc w:val="both"/>
      </w:pPr>
      <w:r>
        <w:rPr>
          <w:rFonts w:ascii="Calibri" w:hAnsi="Calibri" w:eastAsia="Calibri"/>
          <w:color w:val="374151"/>
          <w:sz w:val="20"/>
        </w:rPr>
        <w:t>• Comptes : approbation dans les six mois de la clôture. Si l’associé unique personne physique est seul gérant, le dépôt des comptes signés au greffe dans ce délai vaut approbation (C. com., art. L. 223-31). Un gérant distinct adresse les documents à l’associé unique un mois au moins avant l’expiration du délai (C. com., art. R. 223-25).</w:t>
      </w:r>
    </w:p>
    <w:p>
      <w:pPr>
        <w:spacing w:after="100" w:before="0"/>
        <w:jc w:val="both"/>
      </w:pPr>
      <w:r>
        <w:rPr>
          <w:rFonts w:ascii="Calibri" w:hAnsi="Calibri" w:eastAsia="Calibri"/>
          <w:color w:val="374151"/>
          <w:sz w:val="20"/>
        </w:rPr>
        <w:t>• Conventions : avec l’associé unique, simple mention au registre des décisions ; avec un gérant non associé, approbation préalable de l’associé unique s’il n’existe pas de commissaire aux comptes, rapport du commissaire aux comptes sur lequel statue l’associé unique dans le cas contraire (C. com., art. L. 223-19 et L. 223-20).</w:t>
      </w:r>
    </w:p>
    <w:p>
      <w:pPr>
        <w:spacing w:after="100" w:before="0"/>
        <w:jc w:val="both"/>
      </w:pPr>
      <w:r>
        <w:rPr>
          <w:rFonts w:ascii="Calibri" w:hAnsi="Calibri" w:eastAsia="Calibri"/>
          <w:color w:val="374151"/>
          <w:sz w:val="20"/>
        </w:rPr>
        <w:t>• Cession de parts par l’associé unique : acte écrit, rendu opposable à la société et aux tiers (C. com., art. L. 221-14, applicable à la SARL par l’article L. 223-17) ; droit d’enregistrement de 3 % après abattement (CGI, art. 726). Société à prépondérance immobilière, au sens du 2° du I de l’article 726 du code général des impôts (notamment société non cotée dont l’actif est, ou a été au cours de l’année précédant la cession, principalement constitué d’immeubles ou de droits immobiliers situés en France) : depuis le 27 juin 2026, la cession de ses parts sociales doit, à peine de nullité, être constatée par acte authentique, par acte contresigné par avocat ou par un autre acte admis par l’article 1865-1 du code civil ; le droit d’enregistrement est alors de 5 % (CGI, art. 726).</w:t>
      </w:r>
    </w:p>
    <w:p>
      <w:pPr>
        <w:spacing w:after="100" w:before="0"/>
        <w:jc w:val="both"/>
      </w:pPr>
      <w:r>
        <w:rPr>
          <w:rFonts w:ascii="Calibri" w:hAnsi="Calibri" w:eastAsia="Calibri"/>
          <w:color w:val="374151"/>
          <w:sz w:val="20"/>
        </w:rPr>
        <w:t>• Dissolution : la transmission universelle du patrimoine sans liquidation n’est possible que si l’associé unique est une personne morale ; une personne physique doit dissoudre puis liquider (C. civ., art. 1844-5).</w:t>
      </w:r>
    </w:p>
    <w:p>
      <w:pPr>
        <w:spacing w:after="100" w:before="0"/>
        <w:jc w:val="both"/>
      </w:pPr>
      <w:r>
        <w:rPr>
          <w:rFonts w:ascii="Calibri" w:hAnsi="Calibri" w:eastAsia="Calibri"/>
          <w:color w:val="374151"/>
          <w:sz w:val="20"/>
        </w:rPr>
        <w:t>• Formalités : avis de constitution dans un support habilité (forfait 2026 pour une EURL en métropole : 124 € HT) ; dossier d’immatriculation sur formalites.entreprises.gouv.fr avec les statuts, le certificat du dépositaire, le justificatif du siège, les pièces du gérant et la déclaration des bénéficiaires effectifs. La SARL dont l’associé unique, personne physique, assume la gérance bénéficie de formalités de publicité allégées (C. com., art. L. 223-1).</w:t>
      </w:r>
    </w:p>
    <w:p>
      <w:pPr>
        <w:spacing w:after="100" w:before="0"/>
        <w:jc w:val="both"/>
      </w:pPr>
      <w:r>
        <w:rPr>
          <w:rFonts w:ascii="Calibri" w:hAnsi="Calibri" w:eastAsia="Calibri"/>
          <w:color w:val="374151"/>
          <w:sz w:val="20"/>
        </w:rPr>
        <w:t>• Si un second associé entre au capital, la société devient une SARL pluripersonnelle : les règles d’assemblée, de majorité et d’agrément s’appliquent ; adaptez alors les statuts (un modèle de SARL pluripersonnelle est disponible sur la même page).</w:t>
      </w:r>
    </w:p>
    <w:p>
      <w:pPr>
        <w:spacing w:after="100" w:before="0"/>
        <w:jc w:val="both"/>
      </w:pPr>
      <w:r>
        <w:rPr>
          <w:rFonts w:ascii="Calibri" w:hAnsi="Calibri" w:eastAsia="Calibri"/>
          <w:color w:val="374151"/>
          <w:sz w:val="20"/>
        </w:rPr>
        <w:t>• Supprimez l’en-tête « Modèle fourni à titre informatif… », les surlignages, les variantes et options non retenues et la présente page avant signature ; renumérotez les articles et vérifiez les renvois internes.</w:t>
      </w:r>
    </w:p>
    <w:p>
      <w:pPr>
        <w:spacing w:after="100" w:before="0"/>
        <w:jc w:val="both"/>
      </w:pPr>
      <w:r>
        <w:rPr>
          <w:rFonts w:ascii="Calibri" w:hAnsi="Calibri" w:eastAsia="Calibri"/>
          <w:color w:val="374151"/>
          <w:sz w:val="20"/>
        </w:rPr>
        <w:t>• Ce modèle est une base de travail : faites relire les statuts par un avocat avant signature et avant toute formalité, en particulier en présence d’apports en nature, de clauses d’agrément ou d’exclusion, d’associés mariés sous un régime de communauté ou d’enjeux patrimoniaux.</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d’EURL (SARL à associé unique)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