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rFonts w:ascii="Calibri" w:hAnsi="Calibri" w:eastAsia="Calibri"/>
          <w:b/>
          <w:sz w:val="24"/>
        </w:rPr>
        <w:t xml:space="preserve">SOCIÉTÉ </w:t>
      </w:r>
      <w:r>
        <w:rPr>
          <w:rFonts w:ascii="Calibri" w:hAnsi="Calibri" w:eastAsia="Calibri"/>
          <w:b/>
          <w:sz w:val="24"/>
          <w:highlight w:val="yellow"/>
        </w:rPr>
        <w:t>[DÉNOMINATION]</w:t>
      </w:r>
      <w:r>
        <w:rPr>
          <w:rFonts w:ascii="Calibri" w:hAnsi="Calibri" w:eastAsia="Calibri"/>
          <w:b/>
          <w:sz w:val="24"/>
        </w:rPr>
        <w:t xml:space="preserve"> — SOCIÉTÉ EN LIQUIDATION</w:t>
      </w:r>
    </w:p>
    <w:p>
      <w:pPr>
        <w:spacing w:after="40" w:before="0"/>
        <w:jc w:val="center"/>
      </w:pPr>
      <w:r>
        <w:rPr>
          <w:rFonts w:ascii="Calibri" w:hAnsi="Calibri" w:eastAsia="Calibri"/>
          <w:sz w:val="22"/>
          <w:highlight w:val="yellow"/>
        </w:rPr>
        <w:t>[SARL / SAS / EURL / SASU]</w:t>
      </w:r>
      <w:r>
        <w:rPr>
          <w:rFonts w:ascii="Calibri" w:hAnsi="Calibri" w:eastAsia="Calibri"/>
          <w:sz w:val="22"/>
        </w:rPr>
        <w:t xml:space="preserve"> au capital de </w:t>
      </w:r>
      <w:r>
        <w:rPr>
          <w:rFonts w:ascii="Calibri" w:hAnsi="Calibri" w:eastAsia="Calibri"/>
          <w:sz w:val="22"/>
          <w:highlight w:val="yellow"/>
        </w:rPr>
        <w:t>[montant]</w:t>
      </w:r>
      <w:r>
        <w:rPr>
          <w:rFonts w:ascii="Calibri" w:hAnsi="Calibri" w:eastAsia="Calibri"/>
          <w:sz w:val="22"/>
        </w:rPr>
        <w:t xml:space="preserve"> €</w:t>
      </w:r>
    </w:p>
    <w:p>
      <w:pPr>
        <w:spacing w:after="40" w:before="0"/>
        <w:jc w:val="center"/>
      </w:pPr>
      <w:r>
        <w:rPr>
          <w:rFonts w:ascii="Calibri" w:hAnsi="Calibri" w:eastAsia="Calibri"/>
          <w:sz w:val="22"/>
        </w:rPr>
        <w:t xml:space="preserve">Siège social : </w:t>
      </w:r>
      <w:r>
        <w:rPr>
          <w:rFonts w:ascii="Calibri" w:hAnsi="Calibri" w:eastAsia="Calibri"/>
          <w:sz w:val="22"/>
          <w:highlight w:val="yellow"/>
        </w:rPr>
        <w:t>[adresse]</w:t>
      </w:r>
    </w:p>
    <w:p>
      <w:pPr>
        <w:spacing w:after="40" w:before="0"/>
        <w:jc w:val="center"/>
      </w:pPr>
      <w:r>
        <w:rPr>
          <w:rFonts w:ascii="Calibri" w:hAnsi="Calibri" w:eastAsia="Calibri"/>
          <w:sz w:val="22"/>
        </w:rPr>
        <w:t xml:space="preserve">Siège de la liquidation : </w:t>
      </w:r>
      <w:r>
        <w:rPr>
          <w:rFonts w:ascii="Calibri" w:hAnsi="Calibri" w:eastAsia="Calibri"/>
          <w:sz w:val="22"/>
          <w:highlight w:val="yellow"/>
        </w:rPr>
        <w:t>[adresse de la liquidation]</w:t>
      </w:r>
    </w:p>
    <w:p>
      <w:pPr>
        <w:spacing w:after="40" w:before="0"/>
        <w:jc w:val="center"/>
      </w:pPr>
      <w:r>
        <w:rPr>
          <w:rFonts w:ascii="Calibri" w:hAnsi="Calibri" w:eastAsia="Calibri"/>
          <w:sz w:val="22"/>
        </w:rPr>
        <w:t xml:space="preserve">Liquidateur : </w:t>
      </w:r>
      <w:r>
        <w:rPr>
          <w:rFonts w:ascii="Calibri" w:hAnsi="Calibri" w:eastAsia="Calibri"/>
          <w:sz w:val="22"/>
          <w:highlight w:val="yellow"/>
        </w:rPr>
        <w:t>[Prénom NOM]</w:t>
      </w:r>
    </w:p>
    <w:p>
      <w:pPr>
        <w:spacing w:after="280" w:before="0"/>
        <w:jc w:val="center"/>
      </w:pPr>
      <w:r>
        <w:rPr>
          <w:rFonts w:ascii="Calibri" w:hAnsi="Calibri" w:eastAsia="Calibri"/>
          <w:sz w:val="22"/>
          <w:highlight w:val="yellow"/>
        </w:rPr>
        <w:t>[numéro SIREN]</w:t>
      </w:r>
      <w:r>
        <w:rPr>
          <w:rFonts w:ascii="Calibri" w:hAnsi="Calibri" w:eastAsia="Calibri"/>
          <w:sz w:val="22"/>
        </w:rPr>
        <w:t xml:space="preserve"> RCS </w:t>
      </w:r>
      <w:r>
        <w:rPr>
          <w:rFonts w:ascii="Calibri" w:hAnsi="Calibri" w:eastAsia="Calibri"/>
          <w:sz w:val="22"/>
          <w:highlight w:val="yellow"/>
        </w:rPr>
        <w:t>[ville du greffe]</w:t>
      </w:r>
    </w:p>
    <w:p>
      <w:pPr>
        <w:spacing w:after="40" w:before="0"/>
        <w:jc w:val="center"/>
      </w:pPr>
      <w:r>
        <w:rPr>
          <w:rFonts w:ascii="Calibri" w:hAnsi="Calibri" w:eastAsia="Calibri"/>
          <w:b/>
          <w:sz w:val="24"/>
        </w:rPr>
        <w:t>RAPPORT DU LIQUIDATEUR</w:t>
      </w:r>
    </w:p>
    <w:p>
      <w:pPr>
        <w:spacing w:after="40" w:before="0"/>
        <w:jc w:val="center"/>
      </w:pPr>
      <w:r>
        <w:rPr>
          <w:rFonts w:ascii="Calibri" w:hAnsi="Calibri" w:eastAsia="Calibri"/>
          <w:b/>
          <w:sz w:val="22"/>
          <w:highlight w:val="yellow"/>
        </w:rPr>
        <w:t>[à l’assemblée des associés / à l’associé unique]</w:t>
      </w:r>
      <w:r>
        <w:rPr>
          <w:rFonts w:ascii="Calibri" w:hAnsi="Calibri" w:eastAsia="Calibri"/>
          <w:b/>
          <w:sz w:val="22"/>
        </w:rPr>
        <w:t xml:space="preserve"> — </w:t>
      </w:r>
      <w:r>
        <w:rPr>
          <w:rFonts w:ascii="Calibri" w:hAnsi="Calibri" w:eastAsia="Calibri"/>
          <w:b/>
          <w:sz w:val="22"/>
          <w:highlight w:val="yellow"/>
        </w:rPr>
        <w:t>[rapport à six mois (C. com., art. L. 237-23) / rapport annuel sur l’exercice clos le … (C. com., art. L. 237-25)]</w:t>
      </w:r>
    </w:p>
    <w:p>
      <w:pPr>
        <w:spacing w:after="320" w:before="0"/>
        <w:jc w:val="center"/>
      </w:pPr>
      <w:r>
        <w:rPr>
          <w:rFonts w:ascii="Calibri" w:hAnsi="Calibri" w:eastAsia="Calibri"/>
          <w:b/>
          <w:sz w:val="22"/>
        </w:rPr>
        <w:t xml:space="preserve">établi le </w:t>
      </w:r>
      <w:r>
        <w:rPr>
          <w:rFonts w:ascii="Calibri" w:hAnsi="Calibri" w:eastAsia="Calibri"/>
          <w:b/>
          <w:sz w:val="22"/>
          <w:highlight w:val="yellow"/>
        </w:rPr>
        <w:t>[date]</w:t>
      </w:r>
    </w:p>
    <w:p>
      <w:pPr>
        <w:spacing w:after="160" w:before="0"/>
        <w:jc w:val="both"/>
      </w:pPr>
      <w:r>
        <w:rPr>
          <w:rFonts w:ascii="Calibri" w:hAnsi="Calibri" w:eastAsia="Calibri"/>
          <w:sz w:val="22"/>
          <w:highlight w:val="yellow"/>
        </w:rPr>
        <w:t>[Madame, Monsieur l’associé unique / Mesdames, Messieurs les associés]</w:t>
      </w:r>
      <w:r>
        <w:rPr>
          <w:rFonts w:ascii="Calibri" w:hAnsi="Calibri" w:eastAsia="Calibri"/>
          <w:sz w:val="22"/>
        </w:rPr>
        <w:t>,</w:t>
      </w:r>
    </w:p>
    <w:p>
      <w:pPr>
        <w:spacing w:after="240" w:before="0"/>
        <w:jc w:val="both"/>
      </w:pPr>
      <w:r>
        <w:rPr>
          <w:rFonts w:ascii="Calibri" w:hAnsi="Calibri" w:eastAsia="Calibri"/>
          <w:sz w:val="22"/>
        </w:rPr>
        <w:t xml:space="preserve">Nommé(e) liquidateur de la société par </w:t>
      </w:r>
      <w:r>
        <w:rPr>
          <w:rFonts w:ascii="Calibri" w:hAnsi="Calibri" w:eastAsia="Calibri"/>
          <w:sz w:val="22"/>
          <w:highlight w:val="yellow"/>
        </w:rPr>
        <w:t>[décision de l’assemblée générale extraordinaire / de l’associé unique]</w:t>
      </w:r>
      <w:r>
        <w:rPr>
          <w:rFonts w:ascii="Calibri" w:hAnsi="Calibri" w:eastAsia="Calibri"/>
          <w:sz w:val="22"/>
        </w:rPr>
        <w:t xml:space="preserve"> du </w:t>
      </w:r>
      <w:r>
        <w:rPr>
          <w:rFonts w:ascii="Calibri" w:hAnsi="Calibri" w:eastAsia="Calibri"/>
          <w:sz w:val="22"/>
          <w:highlight w:val="yellow"/>
        </w:rPr>
        <w:t>[date]</w:t>
      </w:r>
      <w:r>
        <w:rPr>
          <w:rFonts w:ascii="Calibri" w:hAnsi="Calibri" w:eastAsia="Calibri"/>
          <w:sz w:val="22"/>
        </w:rPr>
        <w:t xml:space="preserve">, publiée dans </w:t>
      </w:r>
      <w:r>
        <w:rPr>
          <w:rFonts w:ascii="Calibri" w:hAnsi="Calibri" w:eastAsia="Calibri"/>
          <w:sz w:val="22"/>
          <w:highlight w:val="yellow"/>
        </w:rPr>
        <w:t>[nom du support d’annonces légales]</w:t>
      </w:r>
      <w:r>
        <w:rPr>
          <w:rFonts w:ascii="Calibri" w:hAnsi="Calibri" w:eastAsia="Calibri"/>
          <w:sz w:val="22"/>
        </w:rPr>
        <w:t xml:space="preserve"> du </w:t>
      </w:r>
      <w:r>
        <w:rPr>
          <w:rFonts w:ascii="Calibri" w:hAnsi="Calibri" w:eastAsia="Calibri"/>
          <w:sz w:val="22"/>
          <w:highlight w:val="yellow"/>
        </w:rPr>
        <w:t>[date]</w:t>
      </w:r>
      <w:r>
        <w:rPr>
          <w:rFonts w:ascii="Calibri" w:hAnsi="Calibri" w:eastAsia="Calibri"/>
          <w:sz w:val="22"/>
        </w:rPr>
        <w:t>, j’ai l’honneur de vous rendre compte de la situation active et passive de la société, des opérations de liquidation accomplies, de leur poursuite et du délai nécessaire pour les terminer.</w:t>
      </w:r>
    </w:p>
    <w:p>
      <w:pPr>
        <w:spacing w:after="120" w:before="0"/>
      </w:pPr>
      <w:r>
        <w:rPr>
          <w:rFonts w:ascii="Calibri" w:hAnsi="Calibri" w:eastAsia="Calibri"/>
          <w:b/>
          <w:sz w:val="22"/>
        </w:rPr>
        <w:t>1. Rappel de la procédure</w:t>
      </w:r>
    </w:p>
    <w:p>
      <w:pPr>
        <w:spacing w:after="40" w:before="0"/>
        <w:jc w:val="both"/>
      </w:pPr>
      <w:r>
        <w:rPr>
          <w:rFonts w:ascii="Calibri" w:hAnsi="Calibri" w:eastAsia="Calibri"/>
          <w:sz w:val="22"/>
        </w:rPr>
        <w:t xml:space="preserve">– </w:t>
      </w:r>
      <w:r>
        <w:rPr>
          <w:rFonts w:ascii="Calibri" w:hAnsi="Calibri" w:eastAsia="Calibri"/>
          <w:sz w:val="22"/>
        </w:rPr>
        <w:t xml:space="preserve">Date d’effet de la dissolution : </w:t>
      </w:r>
      <w:r>
        <w:rPr>
          <w:rFonts w:ascii="Calibri" w:hAnsi="Calibri" w:eastAsia="Calibri"/>
          <w:sz w:val="22"/>
          <w:highlight w:val="yellow"/>
        </w:rPr>
        <w:t>[date]</w:t>
      </w:r>
      <w:r>
        <w:rPr>
          <w:rFonts w:ascii="Calibri" w:hAnsi="Calibri" w:eastAsia="Calibri"/>
          <w:sz w:val="22"/>
        </w:rPr>
        <w:t xml:space="preserve"> ; cause : </w:t>
      </w:r>
      <w:r>
        <w:rPr>
          <w:rFonts w:ascii="Calibri" w:hAnsi="Calibri" w:eastAsia="Calibri"/>
          <w:sz w:val="22"/>
          <w:highlight w:val="yellow"/>
        </w:rPr>
        <w:t>[dissolution anticipée décidée par …]</w:t>
      </w:r>
      <w:r>
        <w:rPr>
          <w:rFonts w:ascii="Calibri" w:hAnsi="Calibri" w:eastAsia="Calibri"/>
          <w:sz w:val="22"/>
        </w:rPr>
        <w:t xml:space="preserve"> ;</w:t>
      </w:r>
    </w:p>
    <w:p>
      <w:pPr>
        <w:spacing w:after="40" w:before="0"/>
        <w:jc w:val="both"/>
      </w:pPr>
      <w:r>
        <w:rPr>
          <w:rFonts w:ascii="Calibri" w:hAnsi="Calibri" w:eastAsia="Calibri"/>
          <w:sz w:val="22"/>
        </w:rPr>
        <w:t xml:space="preserve">– </w:t>
      </w:r>
      <w:r>
        <w:rPr>
          <w:rFonts w:ascii="Calibri" w:hAnsi="Calibri" w:eastAsia="Calibri"/>
          <w:sz w:val="22"/>
        </w:rPr>
        <w:t xml:space="preserve">Inscription de la dissolution au registre : </w:t>
      </w:r>
      <w:r>
        <w:rPr>
          <w:rFonts w:ascii="Calibri" w:hAnsi="Calibri" w:eastAsia="Calibri"/>
          <w:sz w:val="22"/>
          <w:highlight w:val="yellow"/>
        </w:rPr>
        <w:t>[date]</w:t>
      </w:r>
      <w:r>
        <w:rPr>
          <w:rFonts w:ascii="Calibri" w:hAnsi="Calibri" w:eastAsia="Calibri"/>
          <w:sz w:val="22"/>
        </w:rPr>
        <w:t xml:space="preserve"> ; siège de la liquidation : </w:t>
      </w:r>
      <w:r>
        <w:rPr>
          <w:rFonts w:ascii="Calibri" w:hAnsi="Calibri" w:eastAsia="Calibri"/>
          <w:sz w:val="22"/>
          <w:highlight w:val="yellow"/>
        </w:rPr>
        <w:t>[adresse]</w:t>
      </w:r>
      <w:r>
        <w:rPr>
          <w:rFonts w:ascii="Calibri" w:hAnsi="Calibri" w:eastAsia="Calibri"/>
          <w:sz w:val="22"/>
        </w:rPr>
        <w:t xml:space="preserve"> ;</w:t>
      </w:r>
    </w:p>
    <w:p>
      <w:pPr>
        <w:spacing w:after="200" w:before="0"/>
        <w:jc w:val="both"/>
      </w:pPr>
      <w:r>
        <w:rPr>
          <w:rFonts w:ascii="Calibri" w:hAnsi="Calibri" w:eastAsia="Calibri"/>
          <w:sz w:val="22"/>
        </w:rPr>
        <w:t xml:space="preserve">– </w:t>
      </w:r>
      <w:r>
        <w:rPr>
          <w:rFonts w:ascii="Calibri" w:hAnsi="Calibri" w:eastAsia="Calibri"/>
          <w:sz w:val="22"/>
        </w:rPr>
        <w:t xml:space="preserve">Pouvoirs particuliers reçus : </w:t>
      </w:r>
      <w:r>
        <w:rPr>
          <w:rFonts w:ascii="Calibri" w:hAnsi="Calibri" w:eastAsia="Calibri"/>
          <w:sz w:val="22"/>
          <w:highlight w:val="yellow"/>
        </w:rPr>
        <w:t>[poursuite des affaires en cours autorisée / non]</w:t>
      </w:r>
      <w:r>
        <w:rPr>
          <w:rFonts w:ascii="Calibri" w:hAnsi="Calibri" w:eastAsia="Calibri"/>
          <w:sz w:val="22"/>
        </w:rPr>
        <w:t>.</w:t>
      </w:r>
    </w:p>
    <w:p>
      <w:pPr>
        <w:spacing w:after="120" w:before="0"/>
      </w:pPr>
      <w:r>
        <w:rPr>
          <w:rFonts w:ascii="Calibri" w:hAnsi="Calibri" w:eastAsia="Calibri"/>
          <w:b/>
          <w:sz w:val="22"/>
        </w:rPr>
        <w:t>2. Situation active</w:t>
      </w:r>
    </w:p>
    <w:tbl>
      <w:tblPr>
        <w:tblStyle w:val="TableGrid"/>
        <w:tblW w:type="auto" w:w="0"/>
        <w:tblLook w:firstColumn="1" w:firstRow="1" w:lastColumn="0" w:lastRow="0" w:noHBand="0" w:noVBand="1" w:val="04A0"/>
      </w:tblPr>
      <w:tblGrid>
        <w:gridCol w:w="2408"/>
        <w:gridCol w:w="2408"/>
        <w:gridCol w:w="2408"/>
        <w:gridCol w:w="2408"/>
      </w:tblGrid>
      <w:tr>
        <w:tc>
          <w:tcPr>
            <w:tcW w:type="dxa" w:w="2408"/>
          </w:tcPr>
          <w:p>
            <w:pPr>
              <w:spacing w:after="0" w:before="0"/>
            </w:pPr>
            <w:r>
              <w:rPr>
                <w:rFonts w:ascii="Calibri" w:hAnsi="Calibri" w:eastAsia="Calibri"/>
                <w:b/>
                <w:sz w:val="19"/>
              </w:rPr>
              <w:t>Élément d’actif</w:t>
            </w:r>
          </w:p>
        </w:tc>
        <w:tc>
          <w:tcPr>
            <w:tcW w:type="dxa" w:w="2408"/>
          </w:tcPr>
          <w:p>
            <w:pPr>
              <w:spacing w:after="0" w:before="0"/>
            </w:pPr>
            <w:r>
              <w:rPr>
                <w:rFonts w:ascii="Calibri" w:hAnsi="Calibri" w:eastAsia="Calibri"/>
                <w:b/>
                <w:sz w:val="19"/>
              </w:rPr>
              <w:t>Valeur au jour de la dissolution (€)</w:t>
            </w:r>
          </w:p>
        </w:tc>
        <w:tc>
          <w:tcPr>
            <w:tcW w:type="dxa" w:w="2408"/>
          </w:tcPr>
          <w:p>
            <w:pPr>
              <w:spacing w:after="0" w:before="0"/>
            </w:pPr>
            <w:r>
              <w:rPr>
                <w:rFonts w:ascii="Calibri" w:hAnsi="Calibri" w:eastAsia="Calibri"/>
                <w:b/>
                <w:sz w:val="19"/>
              </w:rPr>
              <w:t>Réalisé à ce jour (€)</w:t>
            </w:r>
          </w:p>
        </w:tc>
        <w:tc>
          <w:tcPr>
            <w:tcW w:type="dxa" w:w="2408"/>
          </w:tcPr>
          <w:p>
            <w:pPr>
              <w:spacing w:after="0" w:before="0"/>
            </w:pPr>
            <w:r>
              <w:rPr>
                <w:rFonts w:ascii="Calibri" w:hAnsi="Calibri" w:eastAsia="Calibri"/>
                <w:b/>
                <w:sz w:val="19"/>
              </w:rPr>
              <w:t>Restant à réaliser (€)</w:t>
            </w:r>
          </w:p>
        </w:tc>
      </w:tr>
      <w:tr>
        <w:tc>
          <w:tcPr>
            <w:tcW w:type="dxa" w:w="2408"/>
          </w:tcPr>
          <w:p>
            <w:pPr>
              <w:spacing w:after="0" w:before="0"/>
            </w:pPr>
            <w:r>
              <w:rPr>
                <w:rFonts w:ascii="Calibri" w:hAnsi="Calibri" w:eastAsia="Calibri"/>
                <w:sz w:val="19"/>
              </w:rPr>
              <w:t>Fonds de commerce / clientèle</w:t>
            </w:r>
          </w:p>
        </w:tc>
        <w:tc>
          <w:tcPr>
            <w:tcW w:type="dxa" w:w="2408"/>
          </w:tcPr>
          <w:p>
            <w:pPr>
              <w:spacing w:after="0" w:before="0"/>
            </w:pPr>
            <w:r>
              <w:rPr>
                <w:rFonts w:ascii="Calibri" w:hAnsi="Calibri" w:eastAsia="Calibri"/>
                <w:sz w:val="19"/>
                <w:highlight w:val="yellow"/>
              </w:rPr>
              <w:t>[…]</w:t>
            </w:r>
          </w:p>
        </w:tc>
        <w:tc>
          <w:tcPr>
            <w:tcW w:type="dxa" w:w="2408"/>
          </w:tcPr>
          <w:p>
            <w:pPr>
              <w:spacing w:after="0" w:before="0"/>
            </w:pPr>
            <w:r>
              <w:rPr>
                <w:rFonts w:ascii="Calibri" w:hAnsi="Calibri" w:eastAsia="Calibri"/>
                <w:sz w:val="19"/>
                <w:highlight w:val="yellow"/>
              </w:rPr>
              <w:t>[…]</w:t>
            </w:r>
          </w:p>
        </w:tc>
        <w:tc>
          <w:tcPr>
            <w:tcW w:type="dxa" w:w="2408"/>
          </w:tcPr>
          <w:p>
            <w:pPr>
              <w:spacing w:after="0" w:before="0"/>
            </w:pPr>
            <w:r>
              <w:rPr>
                <w:rFonts w:ascii="Calibri" w:hAnsi="Calibri" w:eastAsia="Calibri"/>
                <w:sz w:val="19"/>
                <w:highlight w:val="yellow"/>
              </w:rPr>
              <w:t>[…]</w:t>
            </w:r>
          </w:p>
        </w:tc>
      </w:tr>
      <w:tr>
        <w:tc>
          <w:tcPr>
            <w:tcW w:type="dxa" w:w="2408"/>
          </w:tcPr>
          <w:p>
            <w:pPr>
              <w:spacing w:after="0" w:before="0"/>
            </w:pPr>
            <w:r>
              <w:rPr>
                <w:rFonts w:ascii="Calibri" w:hAnsi="Calibri" w:eastAsia="Calibri"/>
                <w:sz w:val="19"/>
              </w:rPr>
              <w:t>Matériel, stocks, véhicules</w:t>
            </w:r>
          </w:p>
        </w:tc>
        <w:tc>
          <w:tcPr>
            <w:tcW w:type="dxa" w:w="2408"/>
          </w:tcPr>
          <w:p>
            <w:pPr>
              <w:spacing w:after="0" w:before="0"/>
            </w:pPr>
            <w:r>
              <w:rPr>
                <w:rFonts w:ascii="Calibri" w:hAnsi="Calibri" w:eastAsia="Calibri"/>
                <w:sz w:val="19"/>
                <w:highlight w:val="yellow"/>
              </w:rPr>
              <w:t>[…]</w:t>
            </w:r>
          </w:p>
        </w:tc>
        <w:tc>
          <w:tcPr>
            <w:tcW w:type="dxa" w:w="2408"/>
          </w:tcPr>
          <w:p>
            <w:pPr>
              <w:spacing w:after="0" w:before="0"/>
            </w:pPr>
            <w:r>
              <w:rPr>
                <w:rFonts w:ascii="Calibri" w:hAnsi="Calibri" w:eastAsia="Calibri"/>
                <w:sz w:val="19"/>
                <w:highlight w:val="yellow"/>
              </w:rPr>
              <w:t>[…]</w:t>
            </w:r>
          </w:p>
        </w:tc>
        <w:tc>
          <w:tcPr>
            <w:tcW w:type="dxa" w:w="2408"/>
          </w:tcPr>
          <w:p>
            <w:pPr>
              <w:spacing w:after="0" w:before="0"/>
            </w:pPr>
            <w:r>
              <w:rPr>
                <w:rFonts w:ascii="Calibri" w:hAnsi="Calibri" w:eastAsia="Calibri"/>
                <w:sz w:val="19"/>
                <w:highlight w:val="yellow"/>
              </w:rPr>
              <w:t>[…]</w:t>
            </w:r>
          </w:p>
        </w:tc>
      </w:tr>
      <w:tr>
        <w:tc>
          <w:tcPr>
            <w:tcW w:type="dxa" w:w="2408"/>
          </w:tcPr>
          <w:p>
            <w:pPr>
              <w:spacing w:after="0" w:before="0"/>
            </w:pPr>
            <w:r>
              <w:rPr>
                <w:rFonts w:ascii="Calibri" w:hAnsi="Calibri" w:eastAsia="Calibri"/>
                <w:sz w:val="19"/>
              </w:rPr>
              <w:t>Créances clients et autres créances</w:t>
            </w:r>
          </w:p>
        </w:tc>
        <w:tc>
          <w:tcPr>
            <w:tcW w:type="dxa" w:w="2408"/>
          </w:tcPr>
          <w:p>
            <w:pPr>
              <w:spacing w:after="0" w:before="0"/>
            </w:pPr>
            <w:r>
              <w:rPr>
                <w:rFonts w:ascii="Calibri" w:hAnsi="Calibri" w:eastAsia="Calibri"/>
                <w:sz w:val="19"/>
                <w:highlight w:val="yellow"/>
              </w:rPr>
              <w:t>[…]</w:t>
            </w:r>
          </w:p>
        </w:tc>
        <w:tc>
          <w:tcPr>
            <w:tcW w:type="dxa" w:w="2408"/>
          </w:tcPr>
          <w:p>
            <w:pPr>
              <w:spacing w:after="0" w:before="0"/>
            </w:pPr>
            <w:r>
              <w:rPr>
                <w:rFonts w:ascii="Calibri" w:hAnsi="Calibri" w:eastAsia="Calibri"/>
                <w:sz w:val="19"/>
                <w:highlight w:val="yellow"/>
              </w:rPr>
              <w:t>[…]</w:t>
            </w:r>
          </w:p>
        </w:tc>
        <w:tc>
          <w:tcPr>
            <w:tcW w:type="dxa" w:w="2408"/>
          </w:tcPr>
          <w:p>
            <w:pPr>
              <w:spacing w:after="0" w:before="0"/>
            </w:pPr>
            <w:r>
              <w:rPr>
                <w:rFonts w:ascii="Calibri" w:hAnsi="Calibri" w:eastAsia="Calibri"/>
                <w:sz w:val="19"/>
                <w:highlight w:val="yellow"/>
              </w:rPr>
              <w:t>[…]</w:t>
            </w:r>
          </w:p>
        </w:tc>
      </w:tr>
      <w:tr>
        <w:tc>
          <w:tcPr>
            <w:tcW w:type="dxa" w:w="2408"/>
          </w:tcPr>
          <w:p>
            <w:pPr>
              <w:spacing w:after="0" w:before="0"/>
            </w:pPr>
            <w:r>
              <w:rPr>
                <w:rFonts w:ascii="Calibri" w:hAnsi="Calibri" w:eastAsia="Calibri"/>
                <w:sz w:val="19"/>
              </w:rPr>
              <w:t>Trésorerie</w:t>
            </w:r>
          </w:p>
        </w:tc>
        <w:tc>
          <w:tcPr>
            <w:tcW w:type="dxa" w:w="2408"/>
          </w:tcPr>
          <w:p>
            <w:pPr>
              <w:spacing w:after="0" w:before="0"/>
            </w:pPr>
            <w:r>
              <w:rPr>
                <w:rFonts w:ascii="Calibri" w:hAnsi="Calibri" w:eastAsia="Calibri"/>
                <w:sz w:val="19"/>
                <w:highlight w:val="yellow"/>
              </w:rPr>
              <w:t>[…]</w:t>
            </w:r>
          </w:p>
        </w:tc>
        <w:tc>
          <w:tcPr>
            <w:tcW w:type="dxa" w:w="2408"/>
          </w:tcPr>
          <w:p>
            <w:pPr>
              <w:spacing w:after="0" w:before="0"/>
            </w:pPr>
            <w:r>
              <w:rPr>
                <w:rFonts w:ascii="Calibri" w:hAnsi="Calibri" w:eastAsia="Calibri"/>
                <w:sz w:val="19"/>
                <w:highlight w:val="yellow"/>
              </w:rPr>
              <w:t>[…]</w:t>
            </w:r>
          </w:p>
        </w:tc>
        <w:tc>
          <w:tcPr>
            <w:tcW w:type="dxa" w:w="2408"/>
          </w:tcPr>
          <w:p>
            <w:pPr>
              <w:spacing w:after="0" w:before="0"/>
            </w:pPr>
            <w:r>
              <w:rPr>
                <w:rFonts w:ascii="Calibri" w:hAnsi="Calibri" w:eastAsia="Calibri"/>
                <w:sz w:val="19"/>
                <w:highlight w:val="yellow"/>
              </w:rPr>
              <w:t>[…]</w:t>
            </w:r>
          </w:p>
        </w:tc>
      </w:tr>
      <w:tr>
        <w:tc>
          <w:tcPr>
            <w:tcW w:type="dxa" w:w="2408"/>
          </w:tcPr>
          <w:p>
            <w:pPr>
              <w:spacing w:after="0" w:before="0"/>
            </w:pPr>
            <w:r>
              <w:rPr>
                <w:rFonts w:ascii="Calibri" w:hAnsi="Calibri" w:eastAsia="Calibri"/>
                <w:b/>
                <w:sz w:val="19"/>
              </w:rPr>
              <w:t>Total</w:t>
            </w:r>
          </w:p>
        </w:tc>
        <w:tc>
          <w:tcPr>
            <w:tcW w:type="dxa" w:w="2408"/>
          </w:tcPr>
          <w:p>
            <w:pPr>
              <w:spacing w:after="0" w:before="0"/>
            </w:pPr>
            <w:r>
              <w:rPr>
                <w:rFonts w:ascii="Calibri" w:hAnsi="Calibri" w:eastAsia="Calibri"/>
                <w:sz w:val="19"/>
                <w:highlight w:val="yellow"/>
              </w:rPr>
              <w:t>[…]</w:t>
            </w:r>
          </w:p>
        </w:tc>
        <w:tc>
          <w:tcPr>
            <w:tcW w:type="dxa" w:w="2408"/>
          </w:tcPr>
          <w:p>
            <w:pPr>
              <w:spacing w:after="0" w:before="0"/>
            </w:pPr>
            <w:r>
              <w:rPr>
                <w:rFonts w:ascii="Calibri" w:hAnsi="Calibri" w:eastAsia="Calibri"/>
                <w:sz w:val="19"/>
                <w:highlight w:val="yellow"/>
              </w:rPr>
              <w:t>[…]</w:t>
            </w:r>
          </w:p>
        </w:tc>
        <w:tc>
          <w:tcPr>
            <w:tcW w:type="dxa" w:w="2408"/>
          </w:tcPr>
          <w:p>
            <w:pPr>
              <w:spacing w:after="0" w:before="0"/>
            </w:pPr>
            <w:r>
              <w:rPr>
                <w:rFonts w:ascii="Calibri" w:hAnsi="Calibri" w:eastAsia="Calibri"/>
                <w:sz w:val="19"/>
                <w:highlight w:val="yellow"/>
              </w:rPr>
              <w:t>[…]</w:t>
            </w:r>
          </w:p>
        </w:tc>
      </w:tr>
    </w:tbl>
    <w:p>
      <w:pPr>
        <w:spacing w:after="160"/>
      </w:pPr>
    </w:p>
    <w:p>
      <w:pPr>
        <w:spacing w:after="120" w:before="0"/>
      </w:pPr>
      <w:r>
        <w:rPr>
          <w:rFonts w:ascii="Calibri" w:hAnsi="Calibri" w:eastAsia="Calibri"/>
          <w:b/>
          <w:sz w:val="22"/>
        </w:rPr>
        <w:t>3. Situation passive</w:t>
      </w:r>
    </w:p>
    <w:tbl>
      <w:tblPr>
        <w:tblStyle w:val="TableGrid"/>
        <w:tblW w:type="auto" w:w="0"/>
        <w:tblLook w:firstColumn="1" w:firstRow="1" w:lastColumn="0" w:lastRow="0" w:noHBand="0" w:noVBand="1" w:val="04A0"/>
      </w:tblPr>
      <w:tblGrid>
        <w:gridCol w:w="1926"/>
        <w:gridCol w:w="1926"/>
        <w:gridCol w:w="1926"/>
        <w:gridCol w:w="1926"/>
        <w:gridCol w:w="1926"/>
      </w:tblGrid>
      <w:tr>
        <w:tc>
          <w:tcPr>
            <w:tcW w:type="dxa" w:w="1926"/>
          </w:tcPr>
          <w:p>
            <w:pPr>
              <w:spacing w:after="0" w:before="0"/>
            </w:pPr>
            <w:r>
              <w:rPr>
                <w:rFonts w:ascii="Calibri" w:hAnsi="Calibri" w:eastAsia="Calibri"/>
                <w:b/>
                <w:sz w:val="19"/>
              </w:rPr>
              <w:t>Créancier / nature de la dette</w:t>
            </w:r>
          </w:p>
        </w:tc>
        <w:tc>
          <w:tcPr>
            <w:tcW w:type="dxa" w:w="1926"/>
          </w:tcPr>
          <w:p>
            <w:pPr>
              <w:spacing w:after="0" w:before="0"/>
            </w:pPr>
            <w:r>
              <w:rPr>
                <w:rFonts w:ascii="Calibri" w:hAnsi="Calibri" w:eastAsia="Calibri"/>
                <w:b/>
                <w:sz w:val="19"/>
              </w:rPr>
              <w:t>Montant (€)</w:t>
            </w:r>
          </w:p>
        </w:tc>
        <w:tc>
          <w:tcPr>
            <w:tcW w:type="dxa" w:w="1926"/>
          </w:tcPr>
          <w:p>
            <w:pPr>
              <w:spacing w:after="0" w:before="0"/>
            </w:pPr>
            <w:r>
              <w:rPr>
                <w:rFonts w:ascii="Calibri" w:hAnsi="Calibri" w:eastAsia="Calibri"/>
                <w:b/>
                <w:sz w:val="19"/>
              </w:rPr>
              <w:t>Réglé (€)</w:t>
            </w:r>
          </w:p>
        </w:tc>
        <w:tc>
          <w:tcPr>
            <w:tcW w:type="dxa" w:w="1926"/>
          </w:tcPr>
          <w:p>
            <w:pPr>
              <w:spacing w:after="0" w:before="0"/>
            </w:pPr>
            <w:r>
              <w:rPr>
                <w:rFonts w:ascii="Calibri" w:hAnsi="Calibri" w:eastAsia="Calibri"/>
                <w:b/>
                <w:sz w:val="19"/>
              </w:rPr>
              <w:t>Restant dû (€)</w:t>
            </w:r>
          </w:p>
        </w:tc>
        <w:tc>
          <w:tcPr>
            <w:tcW w:type="dxa" w:w="1926"/>
          </w:tcPr>
          <w:p>
            <w:pPr>
              <w:spacing w:after="0" w:before="0"/>
            </w:pPr>
            <w:r>
              <w:rPr>
                <w:rFonts w:ascii="Calibri" w:hAnsi="Calibri" w:eastAsia="Calibri"/>
                <w:b/>
                <w:sz w:val="19"/>
              </w:rPr>
              <w:t>Échéance / observations</w:t>
            </w:r>
          </w:p>
        </w:tc>
      </w:tr>
      <w:tr>
        <w:tc>
          <w:tcPr>
            <w:tcW w:type="dxa" w:w="1926"/>
          </w:tcPr>
          <w:p>
            <w:pPr>
              <w:spacing w:after="0" w:before="0"/>
            </w:pPr>
            <w:r>
              <w:rPr>
                <w:rFonts w:ascii="Calibri" w:hAnsi="Calibri" w:eastAsia="Calibri"/>
                <w:sz w:val="19"/>
              </w:rPr>
              <w:t>Fournisseurs</w:t>
            </w:r>
          </w:p>
        </w:tc>
        <w:tc>
          <w:tcPr>
            <w:tcW w:type="dxa" w:w="1926"/>
          </w:tcPr>
          <w:p>
            <w:pPr>
              <w:spacing w:after="0" w:before="0"/>
            </w:pPr>
            <w:r>
              <w:rPr>
                <w:rFonts w:ascii="Calibri" w:hAnsi="Calibri" w:eastAsia="Calibri"/>
                <w:sz w:val="19"/>
                <w:highlight w:val="yellow"/>
              </w:rPr>
              <w:t>[…]</w:t>
            </w:r>
          </w:p>
        </w:tc>
        <w:tc>
          <w:tcPr>
            <w:tcW w:type="dxa" w:w="1926"/>
          </w:tcPr>
          <w:p>
            <w:pPr>
              <w:spacing w:after="0" w:before="0"/>
            </w:pPr>
            <w:r>
              <w:rPr>
                <w:rFonts w:ascii="Calibri" w:hAnsi="Calibri" w:eastAsia="Calibri"/>
                <w:sz w:val="19"/>
                <w:highlight w:val="yellow"/>
              </w:rPr>
              <w:t>[…]</w:t>
            </w:r>
          </w:p>
        </w:tc>
        <w:tc>
          <w:tcPr>
            <w:tcW w:type="dxa" w:w="1926"/>
          </w:tcPr>
          <w:p>
            <w:pPr>
              <w:spacing w:after="0" w:before="0"/>
            </w:pPr>
            <w:r>
              <w:rPr>
                <w:rFonts w:ascii="Calibri" w:hAnsi="Calibri" w:eastAsia="Calibri"/>
                <w:sz w:val="19"/>
                <w:highlight w:val="yellow"/>
              </w:rPr>
              <w:t>[…]</w:t>
            </w:r>
          </w:p>
        </w:tc>
        <w:tc>
          <w:tcPr>
            <w:tcW w:type="dxa" w:w="1926"/>
          </w:tcPr>
          <w:p>
            <w:pPr>
              <w:spacing w:after="0" w:before="0"/>
            </w:pPr>
            <w:r>
              <w:rPr>
                <w:rFonts w:ascii="Calibri" w:hAnsi="Calibri" w:eastAsia="Calibri"/>
                <w:sz w:val="19"/>
                <w:highlight w:val="yellow"/>
              </w:rPr>
              <w:t>[…]</w:t>
            </w:r>
          </w:p>
        </w:tc>
      </w:tr>
      <w:tr>
        <w:tc>
          <w:tcPr>
            <w:tcW w:type="dxa" w:w="1926"/>
          </w:tcPr>
          <w:p>
            <w:pPr>
              <w:spacing w:after="0" w:before="0"/>
            </w:pPr>
            <w:r>
              <w:rPr>
                <w:rFonts w:ascii="Calibri" w:hAnsi="Calibri" w:eastAsia="Calibri"/>
                <w:sz w:val="19"/>
              </w:rPr>
              <w:t>Dettes fiscales</w:t>
            </w:r>
          </w:p>
        </w:tc>
        <w:tc>
          <w:tcPr>
            <w:tcW w:type="dxa" w:w="1926"/>
          </w:tcPr>
          <w:p>
            <w:pPr>
              <w:spacing w:after="0" w:before="0"/>
            </w:pPr>
            <w:r>
              <w:rPr>
                <w:rFonts w:ascii="Calibri" w:hAnsi="Calibri" w:eastAsia="Calibri"/>
                <w:sz w:val="19"/>
                <w:highlight w:val="yellow"/>
              </w:rPr>
              <w:t>[…]</w:t>
            </w:r>
          </w:p>
        </w:tc>
        <w:tc>
          <w:tcPr>
            <w:tcW w:type="dxa" w:w="1926"/>
          </w:tcPr>
          <w:p>
            <w:pPr>
              <w:spacing w:after="0" w:before="0"/>
            </w:pPr>
            <w:r>
              <w:rPr>
                <w:rFonts w:ascii="Calibri" w:hAnsi="Calibri" w:eastAsia="Calibri"/>
                <w:sz w:val="19"/>
                <w:highlight w:val="yellow"/>
              </w:rPr>
              <w:t>[…]</w:t>
            </w:r>
          </w:p>
        </w:tc>
        <w:tc>
          <w:tcPr>
            <w:tcW w:type="dxa" w:w="1926"/>
          </w:tcPr>
          <w:p>
            <w:pPr>
              <w:spacing w:after="0" w:before="0"/>
            </w:pPr>
            <w:r>
              <w:rPr>
                <w:rFonts w:ascii="Calibri" w:hAnsi="Calibri" w:eastAsia="Calibri"/>
                <w:sz w:val="19"/>
                <w:highlight w:val="yellow"/>
              </w:rPr>
              <w:t>[…]</w:t>
            </w:r>
          </w:p>
        </w:tc>
        <w:tc>
          <w:tcPr>
            <w:tcW w:type="dxa" w:w="1926"/>
          </w:tcPr>
          <w:p>
            <w:pPr>
              <w:spacing w:after="0" w:before="0"/>
            </w:pPr>
            <w:r>
              <w:rPr>
                <w:rFonts w:ascii="Calibri" w:hAnsi="Calibri" w:eastAsia="Calibri"/>
                <w:sz w:val="19"/>
                <w:highlight w:val="yellow"/>
              </w:rPr>
              <w:t>[…]</w:t>
            </w:r>
          </w:p>
        </w:tc>
      </w:tr>
      <w:tr>
        <w:tc>
          <w:tcPr>
            <w:tcW w:type="dxa" w:w="1926"/>
          </w:tcPr>
          <w:p>
            <w:pPr>
              <w:spacing w:after="0" w:before="0"/>
            </w:pPr>
            <w:r>
              <w:rPr>
                <w:rFonts w:ascii="Calibri" w:hAnsi="Calibri" w:eastAsia="Calibri"/>
                <w:sz w:val="19"/>
              </w:rPr>
              <w:t>Dettes sociales</w:t>
            </w:r>
          </w:p>
        </w:tc>
        <w:tc>
          <w:tcPr>
            <w:tcW w:type="dxa" w:w="1926"/>
          </w:tcPr>
          <w:p>
            <w:pPr>
              <w:spacing w:after="0" w:before="0"/>
            </w:pPr>
            <w:r>
              <w:rPr>
                <w:rFonts w:ascii="Calibri" w:hAnsi="Calibri" w:eastAsia="Calibri"/>
                <w:sz w:val="19"/>
                <w:highlight w:val="yellow"/>
              </w:rPr>
              <w:t>[…]</w:t>
            </w:r>
          </w:p>
        </w:tc>
        <w:tc>
          <w:tcPr>
            <w:tcW w:type="dxa" w:w="1926"/>
          </w:tcPr>
          <w:p>
            <w:pPr>
              <w:spacing w:after="0" w:before="0"/>
            </w:pPr>
            <w:r>
              <w:rPr>
                <w:rFonts w:ascii="Calibri" w:hAnsi="Calibri" w:eastAsia="Calibri"/>
                <w:sz w:val="19"/>
                <w:highlight w:val="yellow"/>
              </w:rPr>
              <w:t>[…]</w:t>
            </w:r>
          </w:p>
        </w:tc>
        <w:tc>
          <w:tcPr>
            <w:tcW w:type="dxa" w:w="1926"/>
          </w:tcPr>
          <w:p>
            <w:pPr>
              <w:spacing w:after="0" w:before="0"/>
            </w:pPr>
            <w:r>
              <w:rPr>
                <w:rFonts w:ascii="Calibri" w:hAnsi="Calibri" w:eastAsia="Calibri"/>
                <w:sz w:val="19"/>
                <w:highlight w:val="yellow"/>
              </w:rPr>
              <w:t>[…]</w:t>
            </w:r>
          </w:p>
        </w:tc>
        <w:tc>
          <w:tcPr>
            <w:tcW w:type="dxa" w:w="1926"/>
          </w:tcPr>
          <w:p>
            <w:pPr>
              <w:spacing w:after="0" w:before="0"/>
            </w:pPr>
            <w:r>
              <w:rPr>
                <w:rFonts w:ascii="Calibri" w:hAnsi="Calibri" w:eastAsia="Calibri"/>
                <w:sz w:val="19"/>
                <w:highlight w:val="yellow"/>
              </w:rPr>
              <w:t>[…]</w:t>
            </w:r>
          </w:p>
        </w:tc>
      </w:tr>
      <w:tr>
        <w:tc>
          <w:tcPr>
            <w:tcW w:type="dxa" w:w="1926"/>
          </w:tcPr>
          <w:p>
            <w:pPr>
              <w:spacing w:after="0" w:before="0"/>
            </w:pPr>
            <w:r>
              <w:rPr>
                <w:rFonts w:ascii="Calibri" w:hAnsi="Calibri" w:eastAsia="Calibri"/>
                <w:sz w:val="19"/>
              </w:rPr>
              <w:t>Emprunts et comptes courants d’associés</w:t>
            </w:r>
          </w:p>
        </w:tc>
        <w:tc>
          <w:tcPr>
            <w:tcW w:type="dxa" w:w="1926"/>
          </w:tcPr>
          <w:p>
            <w:pPr>
              <w:spacing w:after="0" w:before="0"/>
            </w:pPr>
            <w:r>
              <w:rPr>
                <w:rFonts w:ascii="Calibri" w:hAnsi="Calibri" w:eastAsia="Calibri"/>
                <w:sz w:val="19"/>
                <w:highlight w:val="yellow"/>
              </w:rPr>
              <w:t>[…]</w:t>
            </w:r>
          </w:p>
        </w:tc>
        <w:tc>
          <w:tcPr>
            <w:tcW w:type="dxa" w:w="1926"/>
          </w:tcPr>
          <w:p>
            <w:pPr>
              <w:spacing w:after="0" w:before="0"/>
            </w:pPr>
            <w:r>
              <w:rPr>
                <w:rFonts w:ascii="Calibri" w:hAnsi="Calibri" w:eastAsia="Calibri"/>
                <w:sz w:val="19"/>
                <w:highlight w:val="yellow"/>
              </w:rPr>
              <w:t>[…]</w:t>
            </w:r>
          </w:p>
        </w:tc>
        <w:tc>
          <w:tcPr>
            <w:tcW w:type="dxa" w:w="1926"/>
          </w:tcPr>
          <w:p>
            <w:pPr>
              <w:spacing w:after="0" w:before="0"/>
            </w:pPr>
            <w:r>
              <w:rPr>
                <w:rFonts w:ascii="Calibri" w:hAnsi="Calibri" w:eastAsia="Calibri"/>
                <w:sz w:val="19"/>
                <w:highlight w:val="yellow"/>
              </w:rPr>
              <w:t>[…]</w:t>
            </w:r>
          </w:p>
        </w:tc>
        <w:tc>
          <w:tcPr>
            <w:tcW w:type="dxa" w:w="1926"/>
          </w:tcPr>
          <w:p>
            <w:pPr>
              <w:spacing w:after="0" w:before="0"/>
            </w:pPr>
            <w:r>
              <w:rPr>
                <w:rFonts w:ascii="Calibri" w:hAnsi="Calibri" w:eastAsia="Calibri"/>
                <w:sz w:val="19"/>
                <w:highlight w:val="yellow"/>
              </w:rPr>
              <w:t>[…]</w:t>
            </w:r>
          </w:p>
        </w:tc>
      </w:tr>
      <w:tr>
        <w:tc>
          <w:tcPr>
            <w:tcW w:type="dxa" w:w="1926"/>
          </w:tcPr>
          <w:p>
            <w:pPr>
              <w:spacing w:after="0" w:before="0"/>
            </w:pPr>
            <w:r>
              <w:rPr>
                <w:rFonts w:ascii="Calibri" w:hAnsi="Calibri" w:eastAsia="Calibri"/>
                <w:b/>
                <w:sz w:val="19"/>
              </w:rPr>
              <w:t>Total</w:t>
            </w:r>
          </w:p>
        </w:tc>
        <w:tc>
          <w:tcPr>
            <w:tcW w:type="dxa" w:w="1926"/>
          </w:tcPr>
          <w:p>
            <w:pPr>
              <w:spacing w:after="0" w:before="0"/>
            </w:pPr>
            <w:r>
              <w:rPr>
                <w:rFonts w:ascii="Calibri" w:hAnsi="Calibri" w:eastAsia="Calibri"/>
                <w:sz w:val="19"/>
                <w:highlight w:val="yellow"/>
              </w:rPr>
              <w:t>[…]</w:t>
            </w:r>
          </w:p>
        </w:tc>
        <w:tc>
          <w:tcPr>
            <w:tcW w:type="dxa" w:w="1926"/>
          </w:tcPr>
          <w:p>
            <w:pPr>
              <w:spacing w:after="0" w:before="0"/>
            </w:pPr>
            <w:r>
              <w:rPr>
                <w:rFonts w:ascii="Calibri" w:hAnsi="Calibri" w:eastAsia="Calibri"/>
                <w:sz w:val="19"/>
                <w:highlight w:val="yellow"/>
              </w:rPr>
              <w:t>[…]</w:t>
            </w:r>
          </w:p>
        </w:tc>
        <w:tc>
          <w:tcPr>
            <w:tcW w:type="dxa" w:w="1926"/>
          </w:tcPr>
          <w:p>
            <w:pPr>
              <w:spacing w:after="0" w:before="0"/>
            </w:pPr>
            <w:r>
              <w:rPr>
                <w:rFonts w:ascii="Calibri" w:hAnsi="Calibri" w:eastAsia="Calibri"/>
                <w:sz w:val="19"/>
                <w:highlight w:val="yellow"/>
              </w:rPr>
              <w:t>[…]</w:t>
            </w:r>
          </w:p>
        </w:tc>
        <w:tc>
          <w:tcPr>
            <w:tcW w:type="dxa" w:w="1926"/>
          </w:tcPr>
          <w:p>
            <w:pPr>
              <w:spacing w:after="0" w:before="0"/>
            </w:pPr>
            <w:r>
              <w:rPr>
                <w:rFonts w:ascii="Calibri" w:hAnsi="Calibri" w:eastAsia="Calibri"/>
                <w:sz w:val="19"/>
              </w:rPr>
            </w:r>
          </w:p>
        </w:tc>
      </w:tr>
    </w:tbl>
    <w:p>
      <w:pPr>
        <w:spacing w:after="160"/>
      </w:pPr>
    </w:p>
    <w:p>
      <w:pPr>
        <w:spacing w:after="200" w:before="0"/>
        <w:jc w:val="both"/>
      </w:pPr>
      <w:r>
        <w:rPr>
          <w:rFonts w:ascii="Calibri" w:hAnsi="Calibri" w:eastAsia="Calibri"/>
          <w:b/>
          <w:sz w:val="22"/>
        </w:rPr>
        <w:t xml:space="preserve">Appréciation : </w:t>
      </w:r>
      <w:r>
        <w:rPr>
          <w:rFonts w:ascii="Calibri" w:hAnsi="Calibri" w:eastAsia="Calibri"/>
          <w:sz w:val="22"/>
          <w:highlight w:val="yellow"/>
        </w:rPr>
        <w:t>[l’actif disponible et à réaliser permet / ne permet pas de régler l’intégralité du passif]</w:t>
      </w:r>
      <w:r>
        <w:rPr>
          <w:rFonts w:ascii="Calibri" w:hAnsi="Calibri" w:eastAsia="Calibri"/>
          <w:sz w:val="22"/>
        </w:rPr>
        <w:t>.</w:t>
      </w:r>
    </w:p>
    <w:p>
      <w:pPr>
        <w:spacing w:after="120" w:before="0"/>
      </w:pPr>
      <w:r>
        <w:rPr>
          <w:rFonts w:ascii="Calibri" w:hAnsi="Calibri" w:eastAsia="Calibri"/>
          <w:b/>
          <w:sz w:val="22"/>
        </w:rPr>
        <w:t>4. Opérations accomplies depuis ma nomination</w:t>
      </w:r>
    </w:p>
    <w:p>
      <w:pPr>
        <w:spacing w:after="40" w:before="0"/>
        <w:jc w:val="both"/>
      </w:pPr>
      <w:r>
        <w:rPr>
          <w:rFonts w:ascii="Calibri" w:hAnsi="Calibri" w:eastAsia="Calibri"/>
          <w:sz w:val="22"/>
        </w:rPr>
        <w:t xml:space="preserve">– </w:t>
      </w:r>
      <w:r>
        <w:rPr>
          <w:rFonts w:ascii="Calibri" w:hAnsi="Calibri" w:eastAsia="Calibri"/>
          <w:sz w:val="22"/>
          <w:highlight w:val="yellow"/>
        </w:rPr>
        <w:t>[Cessions réalisées : nature, acquéreur, prix, date]</w:t>
      </w:r>
    </w:p>
    <w:p>
      <w:pPr>
        <w:spacing w:after="40" w:before="0"/>
        <w:jc w:val="both"/>
      </w:pPr>
      <w:r>
        <w:rPr>
          <w:rFonts w:ascii="Calibri" w:hAnsi="Calibri" w:eastAsia="Calibri"/>
          <w:sz w:val="22"/>
        </w:rPr>
        <w:t xml:space="preserve">– </w:t>
      </w:r>
      <w:r>
        <w:rPr>
          <w:rFonts w:ascii="Calibri" w:hAnsi="Calibri" w:eastAsia="Calibri"/>
          <w:sz w:val="22"/>
          <w:highlight w:val="yellow"/>
        </w:rPr>
        <w:t>[Contrats résiliés ou cédés : bail, crédit-bail, abonnements, assurances]</w:t>
      </w:r>
    </w:p>
    <w:p>
      <w:pPr>
        <w:spacing w:after="40" w:before="0"/>
        <w:jc w:val="both"/>
      </w:pPr>
      <w:r>
        <w:rPr>
          <w:rFonts w:ascii="Calibri" w:hAnsi="Calibri" w:eastAsia="Calibri"/>
          <w:sz w:val="22"/>
        </w:rPr>
        <w:t xml:space="preserve">– </w:t>
      </w:r>
      <w:r>
        <w:rPr>
          <w:rFonts w:ascii="Calibri" w:hAnsi="Calibri" w:eastAsia="Calibri"/>
          <w:sz w:val="22"/>
          <w:highlight w:val="yellow"/>
        </w:rPr>
        <w:t>[Salariés : procédure suivie, dates]</w:t>
      </w:r>
    </w:p>
    <w:p>
      <w:pPr>
        <w:spacing w:after="200" w:before="0"/>
        <w:jc w:val="both"/>
      </w:pPr>
      <w:r>
        <w:rPr>
          <w:rFonts w:ascii="Calibri" w:hAnsi="Calibri" w:eastAsia="Calibri"/>
          <w:sz w:val="22"/>
        </w:rPr>
        <w:t xml:space="preserve">– </w:t>
      </w:r>
      <w:r>
        <w:rPr>
          <w:rFonts w:ascii="Calibri" w:hAnsi="Calibri" w:eastAsia="Calibri"/>
          <w:sz w:val="22"/>
          <w:highlight w:val="yellow"/>
        </w:rPr>
        <w:t>[Déclarations fiscales et sociales déposées]</w:t>
      </w:r>
    </w:p>
    <w:p>
      <w:pPr>
        <w:spacing w:after="120" w:before="0"/>
      </w:pPr>
      <w:r>
        <w:rPr>
          <w:rFonts w:ascii="Calibri" w:hAnsi="Calibri" w:eastAsia="Calibri"/>
          <w:b/>
          <w:sz w:val="22"/>
        </w:rPr>
        <w:t>5. Poursuite des opérations et délai prévisible</w:t>
      </w:r>
    </w:p>
    <w:p>
      <w:pPr>
        <w:spacing w:after="160" w:before="0"/>
        <w:jc w:val="both"/>
      </w:pPr>
      <w:r>
        <w:rPr>
          <w:rFonts w:ascii="Calibri" w:hAnsi="Calibri" w:eastAsia="Calibri"/>
          <w:sz w:val="22"/>
        </w:rPr>
        <w:t xml:space="preserve">Restent à accomplir : </w:t>
      </w:r>
      <w:r>
        <w:rPr>
          <w:rFonts w:ascii="Calibri" w:hAnsi="Calibri" w:eastAsia="Calibri"/>
          <w:sz w:val="22"/>
          <w:highlight w:val="yellow"/>
        </w:rPr>
        <w:t>[réalisation de … ; recouvrement de … ; issue du litige … ; obtention de l’attestation de vigilance et du certificat fiscal]</w:t>
      </w:r>
      <w:r>
        <w:rPr>
          <w:rFonts w:ascii="Calibri" w:hAnsi="Calibri" w:eastAsia="Calibri"/>
          <w:sz w:val="22"/>
        </w:rPr>
        <w:t>.</w:t>
      </w:r>
    </w:p>
    <w:p>
      <w:pPr>
        <w:spacing w:after="200" w:before="0"/>
        <w:jc w:val="both"/>
      </w:pPr>
      <w:r>
        <w:rPr>
          <w:rFonts w:ascii="Calibri" w:hAnsi="Calibri" w:eastAsia="Calibri"/>
          <w:sz w:val="22"/>
        </w:rPr>
        <w:t xml:space="preserve">J’estime que la liquidation pourra être clôturée d’ici le </w:t>
      </w:r>
      <w:r>
        <w:rPr>
          <w:rFonts w:ascii="Calibri" w:hAnsi="Calibri" w:eastAsia="Calibri"/>
          <w:sz w:val="22"/>
          <w:highlight w:val="yellow"/>
        </w:rPr>
        <w:t>[date]</w:t>
      </w:r>
      <w:r>
        <w:rPr>
          <w:rFonts w:ascii="Calibri" w:hAnsi="Calibri" w:eastAsia="Calibri"/>
          <w:sz w:val="22"/>
        </w:rPr>
        <w:t>, étant rappelé que mon mandat ne peut excéder trois ans sans renouvellement (C. com., art. L. 237-21).</w:t>
      </w:r>
    </w:p>
    <w:p>
      <w:pPr>
        <w:spacing w:after="120" w:before="0"/>
      </w:pPr>
      <w:r>
        <w:rPr>
          <w:rFonts w:ascii="Calibri" w:hAnsi="Calibri" w:eastAsia="Calibri"/>
          <w:b/>
          <w:sz w:val="22"/>
        </w:rPr>
        <w:t>6. Autorisations et décisions sollicitées</w:t>
      </w:r>
    </w:p>
    <w:p>
      <w:pPr>
        <w:spacing w:after="80" w:before="0"/>
        <w:jc w:val="both"/>
      </w:pPr>
      <w:r>
        <w:rPr>
          <w:rFonts w:ascii="Calibri" w:hAnsi="Calibri" w:eastAsia="Calibri"/>
          <w:sz w:val="22"/>
        </w:rPr>
        <w:t xml:space="preserve">☐ </w:t>
      </w:r>
      <w:r>
        <w:rPr>
          <w:rFonts w:ascii="Calibri" w:hAnsi="Calibri" w:eastAsia="Calibri"/>
          <w:sz w:val="22"/>
        </w:rPr>
        <w:t xml:space="preserve">Prendre acte du présent rapport </w:t>
      </w:r>
      <w:r>
        <w:rPr>
          <w:rFonts w:ascii="Calibri" w:hAnsi="Calibri" w:eastAsia="Calibri"/>
          <w:sz w:val="22"/>
          <w:highlight w:val="yellow"/>
        </w:rPr>
        <w:t>[et, s’il s’agit du rapport annuel, approuver les comptes de l’exercice clos le …]</w:t>
      </w:r>
      <w:r>
        <w:rPr>
          <w:rFonts w:ascii="Calibri" w:hAnsi="Calibri" w:eastAsia="Calibri"/>
          <w:sz w:val="22"/>
        </w:rPr>
        <w:t xml:space="preserve"> ;</w:t>
      </w:r>
    </w:p>
    <w:p>
      <w:pPr>
        <w:spacing w:after="80" w:before="0"/>
        <w:jc w:val="both"/>
      </w:pPr>
      <w:r>
        <w:rPr>
          <w:rFonts w:ascii="Calibri" w:hAnsi="Calibri" w:eastAsia="Calibri"/>
          <w:sz w:val="22"/>
        </w:rPr>
        <w:t xml:space="preserve">☐ </w:t>
      </w:r>
      <w:r>
        <w:rPr>
          <w:rFonts w:ascii="Calibri" w:hAnsi="Calibri" w:eastAsia="Calibri"/>
          <w:sz w:val="22"/>
        </w:rPr>
        <w:t xml:space="preserve">Autoriser la poursuite des affaires en cours suivantes pour les besoins de la liquidation : </w:t>
      </w:r>
      <w:r>
        <w:rPr>
          <w:rFonts w:ascii="Calibri" w:hAnsi="Calibri" w:eastAsia="Calibri"/>
          <w:sz w:val="22"/>
          <w:highlight w:val="yellow"/>
        </w:rPr>
        <w:t>[…]</w:t>
      </w:r>
      <w:r>
        <w:rPr>
          <w:rFonts w:ascii="Calibri" w:hAnsi="Calibri" w:eastAsia="Calibri"/>
          <w:sz w:val="22"/>
        </w:rPr>
        <w:t xml:space="preserve"> (C. com., art. L. 237-24) ;</w:t>
      </w:r>
    </w:p>
    <w:p>
      <w:pPr>
        <w:spacing w:after="80" w:before="0"/>
        <w:jc w:val="both"/>
      </w:pPr>
      <w:r>
        <w:rPr>
          <w:rFonts w:ascii="Calibri" w:hAnsi="Calibri" w:eastAsia="Calibri"/>
          <w:sz w:val="22"/>
        </w:rPr>
        <w:t xml:space="preserve">☐ </w:t>
      </w:r>
      <w:r>
        <w:rPr>
          <w:rFonts w:ascii="Calibri" w:hAnsi="Calibri" w:eastAsia="Calibri"/>
          <w:sz w:val="22"/>
        </w:rPr>
        <w:t xml:space="preserve">Prendre acte d’une répartition de fonds en cours de liquidation d’un montant de </w:t>
      </w:r>
      <w:r>
        <w:rPr>
          <w:rFonts w:ascii="Calibri" w:hAnsi="Calibri" w:eastAsia="Calibri"/>
          <w:sz w:val="22"/>
          <w:highlight w:val="yellow"/>
        </w:rPr>
        <w:t>[…]</w:t>
      </w:r>
      <w:r>
        <w:rPr>
          <w:rFonts w:ascii="Calibri" w:hAnsi="Calibri" w:eastAsia="Calibri"/>
          <w:sz w:val="22"/>
        </w:rPr>
        <w:t xml:space="preserve"> € (C. com., art. L. 237-31) ;</w:t>
      </w:r>
    </w:p>
    <w:p>
      <w:pPr>
        <w:spacing w:after="240" w:before="0"/>
        <w:jc w:val="both"/>
      </w:pPr>
      <w:r>
        <w:rPr>
          <w:rFonts w:ascii="Calibri" w:hAnsi="Calibri" w:eastAsia="Calibri"/>
          <w:sz w:val="22"/>
        </w:rPr>
        <w:t xml:space="preserve">☐ </w:t>
      </w:r>
      <w:r>
        <w:rPr>
          <w:rFonts w:ascii="Calibri" w:hAnsi="Calibri" w:eastAsia="Calibri"/>
          <w:sz w:val="22"/>
          <w:highlight w:val="yellow"/>
        </w:rPr>
        <w:t>[Renouveler le mandat du liquidateur pour … — en indiquant les raisons pour lesquelles la liquidation n’a pu être clôturée, les mesures envisagées et les délais nécessaires (C. com., art. L. 237-21)]</w:t>
      </w:r>
      <w:r>
        <w:rPr>
          <w:rFonts w:ascii="Calibri" w:hAnsi="Calibri" w:eastAsia="Calibri"/>
          <w:sz w:val="22"/>
        </w:rPr>
        <w:t>.</w:t>
      </w:r>
    </w:p>
    <w:p>
      <w:pPr>
        <w:spacing w:after="320" w:before="0"/>
        <w:jc w:val="both"/>
      </w:pPr>
      <w:r>
        <w:rPr>
          <w:rFonts w:ascii="Calibri" w:hAnsi="Calibri" w:eastAsia="Calibri"/>
          <w:sz w:val="22"/>
        </w:rPr>
        <w:t>Je me tiens à votre disposition pour tout renseignement complémentaire et pour la communication des documents sociaux.</w:t>
      </w:r>
    </w:p>
    <w:p>
      <w:pPr>
        <w:spacing w:after="240" w:before="0"/>
        <w:jc w:val="both"/>
      </w:pPr>
      <w:r>
        <w:rPr>
          <w:rFonts w:ascii="Calibri" w:hAnsi="Calibri" w:eastAsia="Calibri"/>
          <w:sz w:val="22"/>
        </w:rPr>
        <w:t xml:space="preserve">Fait à </w:t>
      </w:r>
      <w:r>
        <w:rPr>
          <w:rFonts w:ascii="Calibri" w:hAnsi="Calibri" w:eastAsia="Calibri"/>
          <w:sz w:val="22"/>
          <w:highlight w:val="yellow"/>
        </w:rPr>
        <w:t>[ville]</w:t>
      </w:r>
      <w:r>
        <w:rPr>
          <w:rFonts w:ascii="Calibri" w:hAnsi="Calibri" w:eastAsia="Calibri"/>
          <w:sz w:val="22"/>
        </w:rPr>
        <w:t xml:space="preserve">, le </w:t>
      </w:r>
      <w:r>
        <w:rPr>
          <w:rFonts w:ascii="Calibri" w:hAnsi="Calibri" w:eastAsia="Calibri"/>
          <w:sz w:val="22"/>
          <w:highlight w:val="yellow"/>
        </w:rPr>
        <w:t>[date]</w:t>
      </w:r>
      <w:r>
        <w:rPr>
          <w:rFonts w:ascii="Calibri" w:hAnsi="Calibri" w:eastAsia="Calibri"/>
          <w:sz w:val="22"/>
        </w:rPr>
        <w:t>.</w:t>
      </w:r>
    </w:p>
    <w:p>
      <w:pPr>
        <w:spacing w:after="40" w:before="0"/>
      </w:pPr>
      <w:r>
        <w:rPr>
          <w:rFonts w:ascii="Calibri" w:hAnsi="Calibri" w:eastAsia="Calibri"/>
          <w:b/>
          <w:sz w:val="22"/>
        </w:rPr>
        <w:t>Le liquidateur</w:t>
      </w:r>
    </w:p>
    <w:p>
      <w:pPr>
        <w:spacing w:after="280" w:before="0"/>
      </w:pPr>
      <w:r>
        <w:rPr>
          <w:rFonts w:ascii="Calibri" w:hAnsi="Calibri" w:eastAsia="Calibri"/>
          <w:sz w:val="22"/>
          <w:highlight w:val="yellow"/>
        </w:rPr>
        <w:t>[Prénom NOM — signature]</w:t>
      </w:r>
    </w:p>
    <w:p>
      <w:r>
        <w:br w:type="page"/>
      </w:r>
    </w:p>
    <w:p>
      <w:pPr>
        <w:spacing w:after="80" w:before="0"/>
      </w:pPr>
      <w:r>
        <w:rPr>
          <w:rFonts w:ascii="Calibri" w:hAnsi="Calibri" w:eastAsia="Calibri"/>
          <w:b/>
          <w:sz w:val="26"/>
        </w:rPr>
        <w:t>Notes pratiques — à supprimer avant utilisation</w:t>
      </w:r>
    </w:p>
    <w:p>
      <w:pPr>
        <w:spacing w:after="120"/>
      </w:pPr>
    </w:p>
    <w:p>
      <w:pPr>
        <w:spacing w:after="100" w:before="0"/>
        <w:jc w:val="both"/>
      </w:pPr>
      <w:r>
        <w:rPr>
          <w:rFonts w:ascii="Calibri" w:hAnsi="Calibri" w:eastAsia="Calibri"/>
          <w:color w:val="374151"/>
          <w:sz w:val="20"/>
        </w:rPr>
        <w:t>• Rapport à six mois : dans les six mois de sa nomination, le liquidateur convoque l’assemblée des associés et lui fait rapport sur la situation active et passive, la poursuite des opérations et le délai nécessaire pour les terminer ; ce délai peut être porté à douze mois par décision de justice, à sa demande. À défaut, le juge déchoit le liquidateur de tout ou partie de son droit à rémunération et peut le révoquer (C. com., art. L. 237-23).</w:t>
      </w:r>
    </w:p>
    <w:p>
      <w:pPr>
        <w:spacing w:after="100" w:before="0"/>
        <w:jc w:val="both"/>
      </w:pPr>
      <w:r>
        <w:rPr>
          <w:rFonts w:ascii="Calibri" w:hAnsi="Calibri" w:eastAsia="Calibri"/>
          <w:color w:val="374151"/>
          <w:sz w:val="20"/>
        </w:rPr>
        <w:t>• Rapport annuel : dans les trois mois de la clôture de chaque exercice, le liquidateur établit les comptes annuels et un rapport écrit sur les opérations de l’exercice ; sauf dispense judiciaire, il convoque l’assemblée au moins une fois par an, dans les six mois de la clôture. Si l’assemblée n’est pas réunie, le rapport est déposé au greffe. À défaut d’accomplir ces diligences, le liquidateur peut être déchu de tout ou partie de son droit à rémunération pour l’ensemble de sa mission par le président du tribunal saisi en application de l’article L. 238-2, et révoqué selon les mêmes formes (C. com., art. L. 237-25).</w:t>
      </w:r>
    </w:p>
    <w:p>
      <w:pPr>
        <w:spacing w:after="100" w:before="0"/>
        <w:jc w:val="both"/>
      </w:pPr>
      <w:r>
        <w:rPr>
          <w:rFonts w:ascii="Calibri" w:hAnsi="Calibri" w:eastAsia="Calibri"/>
          <w:color w:val="374151"/>
          <w:sz w:val="20"/>
        </w:rPr>
        <w:t>• Ces obligations relèvent des articles L. 237-14 et suivants, applicables à défaut de clauses statutaires ou de convention expresse réglant la liquidation (C. com., art. L. 237-14, I) : lisez d’abord les statuts.</w:t>
      </w:r>
    </w:p>
    <w:p>
      <w:pPr>
        <w:spacing w:after="100" w:before="0"/>
        <w:jc w:val="both"/>
      </w:pPr>
      <w:r>
        <w:rPr>
          <w:rFonts w:ascii="Calibri" w:hAnsi="Calibri" w:eastAsia="Calibri"/>
          <w:color w:val="374151"/>
          <w:sz w:val="20"/>
        </w:rPr>
        <w:t>• Majorités pour les décisions annuelles : majorité des associés en capital dans la SARL ; unanimité, sauf clause contraire, dans la SAS ; les associés liquidateurs peuvent voter (C. com., art. L. 237-27). En EURL et en SASU, l’associé unique statue seul et consigne sa décision dans le registre.</w:t>
      </w:r>
    </w:p>
    <w:p>
      <w:pPr>
        <w:spacing w:after="100" w:before="0"/>
        <w:jc w:val="both"/>
      </w:pPr>
      <w:r>
        <w:rPr>
          <w:rFonts w:ascii="Calibri" w:hAnsi="Calibri" w:eastAsia="Calibri"/>
          <w:color w:val="374151"/>
          <w:sz w:val="20"/>
        </w:rPr>
        <w:t>• S’il y a plusieurs liquidateurs, ils peuvent agir séparément, sauf disposition contraire de l’acte de nomination, mais établissent un rapport commun (C. com., art. R. 237-13).</w:t>
      </w:r>
    </w:p>
    <w:p>
      <w:pPr>
        <w:spacing w:after="100" w:before="0"/>
        <w:jc w:val="both"/>
      </w:pPr>
      <w:r>
        <w:rPr>
          <w:rFonts w:ascii="Calibri" w:hAnsi="Calibri" w:eastAsia="Calibri"/>
          <w:color w:val="374151"/>
          <w:sz w:val="20"/>
        </w:rPr>
        <w:t>• Une décision de répartition de fonds en cours de liquidation se publie dans le support d’annonces légales de la nomination et est notifiée individuellement aux titulaires de titres nominatifs, par exemple les associés d’une SAS dont les actions sont nominatives (C. com., art. R. 237-16) ; les sommes sont déposées dans les quinze jours sur un compte ouvert au nom de la société en liquidation (C. com., art. R. 237-17).</w:t>
      </w:r>
    </w:p>
    <w:p>
      <w:pPr>
        <w:spacing w:after="100" w:before="0"/>
        <w:jc w:val="both"/>
      </w:pPr>
      <w:r>
        <w:rPr>
          <w:rFonts w:ascii="Calibri" w:hAnsi="Calibri" w:eastAsia="Calibri"/>
          <w:color w:val="374151"/>
          <w:sz w:val="20"/>
        </w:rPr>
        <w:t>• Si le passif ne peut plus être réglé, la liquidation amiable doit cesser : une procédure collective doit être demandée dans les quarante-cinq jours de la cessation des paiements, sauf conciliation (C. com., art. L. 631-4).</w:t>
      </w:r>
    </w:p>
    <w:p>
      <w:pPr>
        <w:spacing w:after="100" w:before="0"/>
        <w:jc w:val="both"/>
      </w:pPr>
      <w:r>
        <w:rPr>
          <w:rFonts w:ascii="Calibri" w:hAnsi="Calibri" w:eastAsia="Calibri"/>
          <w:color w:val="374151"/>
          <w:sz w:val="20"/>
        </w:rPr>
        <w:t>• Supprimez l’en-tête « Modèle fourni à titre informatif… », les surlignages, les options non retenues et la présente page avant signature. Conservez l’original signé au siège (registre des décisions ou registre des procès-verbaux).</w:t>
      </w:r>
    </w:p>
    <w:p>
      <w:pPr>
        <w:spacing w:after="100" w:before="0"/>
        <w:jc w:val="both"/>
      </w:pPr>
      <w:r>
        <w:rPr>
          <w:rFonts w:ascii="Calibri" w:hAnsi="Calibri" w:eastAsia="Calibri"/>
          <w:color w:val="374151"/>
          <w:sz w:val="20"/>
        </w:rPr>
        <w:t>• Ce modèle est une base de travail : il ne remplace pas un conseil adapté à la situation de la société. Faites relire l’acte par un avocat avant signature, en particulier si la société a des dettes, des salariés, des biens immobiliers, un litige en cours ou plusieurs associés en désaccord.</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du liquidateur aux associés (rapport à six mois ou rapport annuel)</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