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Calibri" w:hAnsi="Calibri" w:eastAsia="Calibri"/>
          <w:b/>
          <w:sz w:val="24"/>
        </w:rPr>
        <w:t xml:space="preserve">SOCIÉTÉ </w:t>
      </w:r>
      <w:r>
        <w:rPr>
          <w:rFonts w:ascii="Calibri" w:hAnsi="Calibri" w:eastAsia="Calibri"/>
          <w:b/>
          <w:sz w:val="24"/>
          <w:highlight w:val="yellow"/>
        </w:rPr>
        <w:t>[DÉNOMINATION]</w:t>
      </w:r>
    </w:p>
    <w:p>
      <w:pPr>
        <w:spacing w:after="40" w:before="0"/>
        <w:jc w:val="center"/>
      </w:pPr>
      <w:r>
        <w:rPr>
          <w:rFonts w:ascii="Calibri" w:hAnsi="Calibri" w:eastAsia="Calibri"/>
          <w:sz w:val="22"/>
          <w:highlight w:val="yellow"/>
        </w:rPr>
        <w:t>[Société à responsabilité limitée / Société par actions simplifiée]</w:t>
      </w:r>
      <w:r>
        <w:rPr>
          <w:rFonts w:ascii="Calibri" w:hAnsi="Calibri" w:eastAsia="Calibri"/>
          <w:sz w:val="22"/>
        </w:rPr>
        <w:t xml:space="preserve"> au capital de </w:t>
      </w:r>
      <w:r>
        <w:rPr>
          <w:rFonts w:ascii="Calibri" w:hAnsi="Calibri" w:eastAsia="Calibri"/>
          <w:sz w:val="22"/>
          <w:highlight w:val="yellow"/>
        </w:rPr>
        <w:t>[montant]</w:t>
      </w:r>
      <w:r>
        <w:rPr>
          <w:rFonts w:ascii="Calibri" w:hAnsi="Calibri" w:eastAsia="Calibri"/>
          <w:sz w:val="22"/>
        </w:rPr>
        <w:t xml:space="preserve"> €</w:t>
      </w:r>
    </w:p>
    <w:p>
      <w:pPr>
        <w:spacing w:after="40" w:before="0"/>
        <w:jc w:val="center"/>
      </w:pPr>
      <w:r>
        <w:rPr>
          <w:rFonts w:ascii="Calibri" w:hAnsi="Calibri" w:eastAsia="Calibri"/>
          <w:sz w:val="22"/>
        </w:rPr>
        <w:t xml:space="preserve">Siège social : </w:t>
      </w:r>
      <w:r>
        <w:rPr>
          <w:rFonts w:ascii="Calibri" w:hAnsi="Calibri" w:eastAsia="Calibri"/>
          <w:sz w:val="22"/>
          <w:highlight w:val="yellow"/>
        </w:rPr>
        <w:t>[adresse complète]</w:t>
      </w:r>
    </w:p>
    <w:p>
      <w:pPr>
        <w:spacing w:after="280" w:before="0"/>
        <w:jc w:val="center"/>
      </w:pPr>
      <w:r>
        <w:rPr>
          <w:rFonts w:ascii="Calibri" w:hAnsi="Calibri" w:eastAsia="Calibri"/>
          <w:sz w:val="22"/>
          <w:highlight w:val="yellow"/>
        </w:rPr>
        <w:t>[RCS Ville]</w:t>
      </w:r>
      <w:r>
        <w:rPr>
          <w:rFonts w:ascii="Calibri" w:hAnsi="Calibri" w:eastAsia="Calibri"/>
          <w:sz w:val="22"/>
        </w:rPr>
        <w:t xml:space="preserve"> n° </w:t>
      </w:r>
      <w:r>
        <w:rPr>
          <w:rFonts w:ascii="Calibri" w:hAnsi="Calibri" w:eastAsia="Calibri"/>
          <w:sz w:val="22"/>
          <w:highlight w:val="yellow"/>
        </w:rPr>
        <w:t>[SIREN]</w:t>
      </w:r>
    </w:p>
    <w:p>
      <w:pPr>
        <w:spacing w:after="40" w:before="0"/>
        <w:jc w:val="center"/>
      </w:pPr>
      <w:r>
        <w:rPr>
          <w:rFonts w:ascii="Calibri" w:hAnsi="Calibri" w:eastAsia="Calibri"/>
          <w:b/>
          <w:sz w:val="24"/>
        </w:rPr>
        <w:t xml:space="preserve">RAPPORT DE GESTION </w:t>
      </w:r>
      <w:r>
        <w:rPr>
          <w:rFonts w:ascii="Calibri" w:hAnsi="Calibri" w:eastAsia="Calibri"/>
          <w:b/>
          <w:sz w:val="24"/>
          <w:highlight w:val="yellow"/>
        </w:rPr>
        <w:t>[DE LA GÉRANCE / DU PRÉSIDENT]</w:t>
      </w:r>
    </w:p>
    <w:p>
      <w:pPr>
        <w:spacing w:after="40" w:before="0"/>
        <w:jc w:val="center"/>
      </w:pPr>
      <w:r>
        <w:rPr>
          <w:rFonts w:ascii="Calibri" w:hAnsi="Calibri" w:eastAsia="Calibri"/>
          <w:b/>
          <w:sz w:val="22"/>
        </w:rPr>
        <w:t xml:space="preserve">sur l’exercice clos le </w:t>
      </w:r>
      <w:r>
        <w:rPr>
          <w:rFonts w:ascii="Calibri" w:hAnsi="Calibri" w:eastAsia="Calibri"/>
          <w:b/>
          <w:sz w:val="22"/>
          <w:highlight w:val="yellow"/>
        </w:rPr>
        <w:t>[date]</w:t>
      </w:r>
    </w:p>
    <w:p>
      <w:pPr>
        <w:spacing w:after="320" w:before="0"/>
        <w:jc w:val="center"/>
      </w:pPr>
      <w:r>
        <w:rPr>
          <w:rFonts w:ascii="Calibri" w:hAnsi="Calibri" w:eastAsia="Calibri"/>
          <w:sz w:val="22"/>
        </w:rPr>
        <w:t xml:space="preserve">présenté </w:t>
      </w:r>
      <w:r>
        <w:rPr>
          <w:rFonts w:ascii="Calibri" w:hAnsi="Calibri" w:eastAsia="Calibri"/>
          <w:sz w:val="22"/>
          <w:highlight w:val="yellow"/>
        </w:rPr>
        <w:t>[à l’assemblée générale ordinaire annuelle du … / aux associés / à l’associé unique]</w:t>
      </w:r>
    </w:p>
    <w:p>
      <w:pPr>
        <w:spacing w:after="160" w:before="0"/>
      </w:pPr>
      <w:r>
        <w:rPr>
          <w:rFonts w:ascii="Calibri" w:hAnsi="Calibri" w:eastAsia="Calibri"/>
          <w:sz w:val="22"/>
          <w:highlight w:val="yellow"/>
        </w:rPr>
        <w:t>[Mesdames, Messieurs les associés, / Madame, Monsieur l’associé unique,]</w:t>
      </w:r>
    </w:p>
    <w:p>
      <w:pPr>
        <w:spacing w:after="240" w:before="0"/>
        <w:jc w:val="both"/>
      </w:pPr>
      <w:r>
        <w:rPr>
          <w:rFonts w:ascii="Calibri" w:hAnsi="Calibri" w:eastAsia="Calibri"/>
          <w:sz w:val="22"/>
        </w:rPr>
        <w:t xml:space="preserve">Conformément à la loi et aux statuts, </w:t>
      </w:r>
      <w:r>
        <w:rPr>
          <w:rFonts w:ascii="Calibri" w:hAnsi="Calibri" w:eastAsia="Calibri"/>
          <w:sz w:val="22"/>
          <w:highlight w:val="yellow"/>
        </w:rPr>
        <w:t>[nous vous avons réunis / nous vous consultons]</w:t>
      </w:r>
      <w:r>
        <w:rPr>
          <w:rFonts w:ascii="Calibri" w:hAnsi="Calibri" w:eastAsia="Calibri"/>
          <w:sz w:val="22"/>
        </w:rPr>
        <w:t xml:space="preserve"> afin de vous rendre compte de l’activité de la société au cours de l’exercice clos le </w:t>
      </w:r>
      <w:r>
        <w:rPr>
          <w:rFonts w:ascii="Calibri" w:hAnsi="Calibri" w:eastAsia="Calibri"/>
          <w:sz w:val="22"/>
          <w:highlight w:val="yellow"/>
        </w:rPr>
        <w:t>[date]</w:t>
      </w:r>
      <w:r>
        <w:rPr>
          <w:rFonts w:ascii="Calibri" w:hAnsi="Calibri" w:eastAsia="Calibri"/>
          <w:sz w:val="22"/>
        </w:rPr>
        <w:t>, des résultats de cette activité et de ses perspectives, et de soumettre à votre approbation les comptes annuels de cet exercice. Ces comptes, ainsi que les documents qui s’y rapportent, ont été mis à votre disposition dans les conditions et délais prévus par la loi et les statuts.</w:t>
      </w:r>
    </w:p>
    <w:p>
      <w:pPr>
        <w:spacing w:after="120" w:before="0"/>
      </w:pPr>
      <w:r>
        <w:rPr>
          <w:rFonts w:ascii="Calibri" w:hAnsi="Calibri" w:eastAsia="Calibri"/>
          <w:b/>
          <w:sz w:val="22"/>
        </w:rPr>
        <w:t>1. Situation et activité de la société au cours de l’exercice</w:t>
      </w:r>
    </w:p>
    <w:p>
      <w:pPr>
        <w:spacing w:after="160" w:before="0"/>
        <w:jc w:val="both"/>
      </w:pPr>
      <w:r>
        <w:rPr>
          <w:rFonts w:ascii="Calibri" w:hAnsi="Calibri" w:eastAsia="Calibri"/>
          <w:sz w:val="22"/>
          <w:highlight w:val="yellow"/>
        </w:rPr>
        <w:t>[Analyse objective et exhaustive de l’évolution des affaires, des résultats et de la situation de la société, notamment de son endettement, au regard du volume et de la complexité des affaires : faits marquants de l’exercice, évolution du chiffre d’affaires, principaux clients et marchés, investissements, financement.]</w:t>
      </w:r>
    </w:p>
    <w:p>
      <w:pPr>
        <w:spacing w:after="80" w:before="0"/>
        <w:jc w:val="both"/>
      </w:pPr>
      <w:r>
        <w:rPr>
          <w:rFonts w:ascii="Calibri" w:hAnsi="Calibri" w:eastAsia="Calibri"/>
          <w:sz w:val="22"/>
        </w:rPr>
        <w:t>Les principaux chiffres de l’exercice sont les suivants :</w:t>
      </w:r>
    </w:p>
    <w:tbl>
      <w:tblPr>
        <w:tblStyle w:val="TableGrid"/>
        <w:tblW w:type="auto" w:w="0"/>
        <w:jc w:val="center"/>
        <w:tblLayout w:type="fixed"/>
        <w:tblLook w:firstColumn="1" w:firstRow="1" w:lastColumn="0" w:lastRow="0" w:noHBand="0" w:noVBand="1" w:val="04A0"/>
      </w:tblPr>
      <w:tblGrid>
        <w:gridCol w:w="3402"/>
        <w:gridCol w:w="2041"/>
        <w:gridCol w:w="2041"/>
        <w:gridCol w:w="1871"/>
      </w:tblGrid>
      <w:tr>
        <w:tc>
          <w:tcPr>
            <w:tcW w:type="dxa" w:w="3402"/>
            <w:shd w:val="clear" w:color="auto" w:fill="EEF1F4"/>
          </w:tcPr>
          <w:p>
            <w:pPr>
              <w:spacing w:after="20" w:before="0"/>
            </w:pPr>
            <w:r>
              <w:rPr>
                <w:rFonts w:ascii="Calibri" w:hAnsi="Calibri" w:eastAsia="Calibri"/>
                <w:b/>
                <w:sz w:val="19"/>
              </w:rPr>
              <w:t>Poste</w:t>
            </w:r>
          </w:p>
        </w:tc>
        <w:tc>
          <w:tcPr>
            <w:tcW w:type="dxa" w:w="2041"/>
            <w:shd w:val="clear" w:color="auto" w:fill="EEF1F4"/>
          </w:tcPr>
          <w:p>
            <w:pPr>
              <w:spacing w:after="20" w:before="0"/>
            </w:pPr>
            <w:r>
              <w:rPr>
                <w:rFonts w:ascii="Calibri" w:hAnsi="Calibri" w:eastAsia="Calibri"/>
                <w:b/>
                <w:sz w:val="19"/>
              </w:rPr>
              <w:t xml:space="preserve">Exercice clos le </w:t>
            </w:r>
            <w:r>
              <w:rPr>
                <w:rFonts w:ascii="Calibri" w:hAnsi="Calibri" w:eastAsia="Calibri"/>
                <w:b/>
                <w:sz w:val="19"/>
                <w:highlight w:val="yellow"/>
              </w:rPr>
              <w:t>[…]</w:t>
            </w:r>
          </w:p>
        </w:tc>
        <w:tc>
          <w:tcPr>
            <w:tcW w:type="dxa" w:w="2041"/>
            <w:shd w:val="clear" w:color="auto" w:fill="EEF1F4"/>
          </w:tcPr>
          <w:p>
            <w:pPr>
              <w:spacing w:after="20" w:before="0"/>
            </w:pPr>
            <w:r>
              <w:rPr>
                <w:rFonts w:ascii="Calibri" w:hAnsi="Calibri" w:eastAsia="Calibri"/>
                <w:b/>
                <w:sz w:val="19"/>
              </w:rPr>
              <w:t>Exercice précédent</w:t>
            </w:r>
          </w:p>
        </w:tc>
        <w:tc>
          <w:tcPr>
            <w:tcW w:type="dxa" w:w="1871"/>
            <w:shd w:val="clear" w:color="auto" w:fill="EEF1F4"/>
          </w:tcPr>
          <w:p>
            <w:pPr>
              <w:spacing w:after="20" w:before="0"/>
            </w:pPr>
            <w:r>
              <w:rPr>
                <w:rFonts w:ascii="Calibri" w:hAnsi="Calibri" w:eastAsia="Calibri"/>
                <w:b/>
                <w:sz w:val="19"/>
              </w:rPr>
              <w:t>Variation</w:t>
            </w:r>
          </w:p>
        </w:tc>
      </w:tr>
      <w:tr>
        <w:tc>
          <w:tcPr>
            <w:tcW w:type="dxa" w:w="3402"/>
          </w:tcPr>
          <w:p>
            <w:pPr>
              <w:spacing w:after="20" w:before="0"/>
            </w:pPr>
            <w:r>
              <w:rPr>
                <w:rFonts w:ascii="Calibri" w:hAnsi="Calibri" w:eastAsia="Calibri"/>
                <w:sz w:val="19"/>
              </w:rPr>
              <w:t>Chiffre d’affaires net</w:t>
            </w:r>
          </w:p>
        </w:tc>
        <w:tc>
          <w:tcPr>
            <w:tcW w:type="dxa" w:w="2041"/>
          </w:tcPr>
          <w:p>
            <w:pPr>
              <w:spacing w:after="20" w:before="0"/>
            </w:pPr>
            <w:r>
              <w:rPr>
                <w:rFonts w:ascii="Calibri" w:hAnsi="Calibri" w:eastAsia="Calibri"/>
                <w:sz w:val="19"/>
                <w:highlight w:val="yellow"/>
              </w:rPr>
              <w:t>[…] €</w:t>
            </w:r>
          </w:p>
        </w:tc>
        <w:tc>
          <w:tcPr>
            <w:tcW w:type="dxa" w:w="2041"/>
          </w:tcPr>
          <w:p>
            <w:pPr>
              <w:spacing w:after="20" w:before="0"/>
            </w:pPr>
            <w:r>
              <w:rPr>
                <w:rFonts w:ascii="Calibri" w:hAnsi="Calibri" w:eastAsia="Calibri"/>
                <w:sz w:val="19"/>
                <w:highlight w:val="yellow"/>
              </w:rPr>
              <w:t>[…] €</w:t>
            </w:r>
          </w:p>
        </w:tc>
        <w:tc>
          <w:tcPr>
            <w:tcW w:type="dxa" w:w="1871"/>
          </w:tcPr>
          <w:p>
            <w:pPr>
              <w:spacing w:after="20" w:before="0"/>
            </w:pPr>
            <w:r>
              <w:rPr>
                <w:rFonts w:ascii="Calibri" w:hAnsi="Calibri" w:eastAsia="Calibri"/>
                <w:sz w:val="19"/>
                <w:highlight w:val="yellow"/>
              </w:rPr>
              <w:t>[…] %</w:t>
            </w:r>
          </w:p>
        </w:tc>
      </w:tr>
      <w:tr>
        <w:tc>
          <w:tcPr>
            <w:tcW w:type="dxa" w:w="3402"/>
          </w:tcPr>
          <w:p>
            <w:pPr>
              <w:spacing w:after="20" w:before="0"/>
            </w:pPr>
            <w:r>
              <w:rPr>
                <w:rFonts w:ascii="Calibri" w:hAnsi="Calibri" w:eastAsia="Calibri"/>
                <w:sz w:val="19"/>
              </w:rPr>
              <w:t>Résultat d’exploitation</w:t>
            </w:r>
          </w:p>
        </w:tc>
        <w:tc>
          <w:tcPr>
            <w:tcW w:type="dxa" w:w="2041"/>
          </w:tcPr>
          <w:p>
            <w:pPr>
              <w:spacing w:after="20" w:before="0"/>
            </w:pPr>
            <w:r>
              <w:rPr>
                <w:rFonts w:ascii="Calibri" w:hAnsi="Calibri" w:eastAsia="Calibri"/>
                <w:sz w:val="19"/>
                <w:highlight w:val="yellow"/>
              </w:rPr>
              <w:t>[…] €</w:t>
            </w:r>
          </w:p>
        </w:tc>
        <w:tc>
          <w:tcPr>
            <w:tcW w:type="dxa" w:w="2041"/>
          </w:tcPr>
          <w:p>
            <w:pPr>
              <w:spacing w:after="20" w:before="0"/>
            </w:pPr>
            <w:r>
              <w:rPr>
                <w:rFonts w:ascii="Calibri" w:hAnsi="Calibri" w:eastAsia="Calibri"/>
                <w:sz w:val="19"/>
                <w:highlight w:val="yellow"/>
              </w:rPr>
              <w:t>[…] €</w:t>
            </w:r>
          </w:p>
        </w:tc>
        <w:tc>
          <w:tcPr>
            <w:tcW w:type="dxa" w:w="1871"/>
          </w:tcPr>
          <w:p>
            <w:pPr>
              <w:spacing w:after="20" w:before="0"/>
            </w:pPr>
            <w:r>
              <w:rPr>
                <w:rFonts w:ascii="Calibri" w:hAnsi="Calibri" w:eastAsia="Calibri"/>
                <w:sz w:val="19"/>
                <w:highlight w:val="yellow"/>
              </w:rPr>
              <w:t>[…] %</w:t>
            </w:r>
          </w:p>
        </w:tc>
      </w:tr>
      <w:tr>
        <w:tc>
          <w:tcPr>
            <w:tcW w:type="dxa" w:w="3402"/>
          </w:tcPr>
          <w:p>
            <w:pPr>
              <w:spacing w:after="20" w:before="0"/>
            </w:pPr>
            <w:r>
              <w:rPr>
                <w:rFonts w:ascii="Calibri" w:hAnsi="Calibri" w:eastAsia="Calibri"/>
                <w:sz w:val="19"/>
              </w:rPr>
              <w:t>Résultat financier</w:t>
            </w:r>
          </w:p>
        </w:tc>
        <w:tc>
          <w:tcPr>
            <w:tcW w:type="dxa" w:w="2041"/>
          </w:tcPr>
          <w:p>
            <w:pPr>
              <w:spacing w:after="20" w:before="0"/>
            </w:pPr>
            <w:r>
              <w:rPr>
                <w:rFonts w:ascii="Calibri" w:hAnsi="Calibri" w:eastAsia="Calibri"/>
                <w:sz w:val="19"/>
                <w:highlight w:val="yellow"/>
              </w:rPr>
              <w:t>[…] €</w:t>
            </w:r>
          </w:p>
        </w:tc>
        <w:tc>
          <w:tcPr>
            <w:tcW w:type="dxa" w:w="2041"/>
          </w:tcPr>
          <w:p>
            <w:pPr>
              <w:spacing w:after="20" w:before="0"/>
            </w:pPr>
            <w:r>
              <w:rPr>
                <w:rFonts w:ascii="Calibri" w:hAnsi="Calibri" w:eastAsia="Calibri"/>
                <w:sz w:val="19"/>
                <w:highlight w:val="yellow"/>
              </w:rPr>
              <w:t>[…] €</w:t>
            </w:r>
          </w:p>
        </w:tc>
        <w:tc>
          <w:tcPr>
            <w:tcW w:type="dxa" w:w="1871"/>
          </w:tcPr>
          <w:p>
            <w:pPr>
              <w:spacing w:after="20" w:before="0"/>
            </w:pPr>
            <w:r>
              <w:rPr>
                <w:rFonts w:ascii="Calibri" w:hAnsi="Calibri" w:eastAsia="Calibri"/>
                <w:sz w:val="19"/>
                <w:highlight w:val="yellow"/>
              </w:rPr>
              <w:t>[…] %</w:t>
            </w:r>
          </w:p>
        </w:tc>
      </w:tr>
      <w:tr>
        <w:tc>
          <w:tcPr>
            <w:tcW w:type="dxa" w:w="3402"/>
          </w:tcPr>
          <w:p>
            <w:pPr>
              <w:spacing w:after="20" w:before="0"/>
            </w:pPr>
            <w:r>
              <w:rPr>
                <w:rFonts w:ascii="Calibri" w:hAnsi="Calibri" w:eastAsia="Calibri"/>
                <w:sz w:val="19"/>
              </w:rPr>
              <w:t>Résultat exceptionnel</w:t>
            </w:r>
          </w:p>
        </w:tc>
        <w:tc>
          <w:tcPr>
            <w:tcW w:type="dxa" w:w="2041"/>
          </w:tcPr>
          <w:p>
            <w:pPr>
              <w:spacing w:after="20" w:before="0"/>
            </w:pPr>
            <w:r>
              <w:rPr>
                <w:rFonts w:ascii="Calibri" w:hAnsi="Calibri" w:eastAsia="Calibri"/>
                <w:sz w:val="19"/>
                <w:highlight w:val="yellow"/>
              </w:rPr>
              <w:t>[…] €</w:t>
            </w:r>
          </w:p>
        </w:tc>
        <w:tc>
          <w:tcPr>
            <w:tcW w:type="dxa" w:w="2041"/>
          </w:tcPr>
          <w:p>
            <w:pPr>
              <w:spacing w:after="20" w:before="0"/>
            </w:pPr>
            <w:r>
              <w:rPr>
                <w:rFonts w:ascii="Calibri" w:hAnsi="Calibri" w:eastAsia="Calibri"/>
                <w:sz w:val="19"/>
                <w:highlight w:val="yellow"/>
              </w:rPr>
              <w:t>[…] €</w:t>
            </w:r>
          </w:p>
        </w:tc>
        <w:tc>
          <w:tcPr>
            <w:tcW w:type="dxa" w:w="1871"/>
          </w:tcPr>
          <w:p>
            <w:pPr>
              <w:spacing w:after="20" w:before="0"/>
            </w:pPr>
            <w:r>
              <w:rPr>
                <w:rFonts w:ascii="Calibri" w:hAnsi="Calibri" w:eastAsia="Calibri"/>
                <w:sz w:val="19"/>
                <w:highlight w:val="yellow"/>
              </w:rPr>
              <w:t>[…] %</w:t>
            </w:r>
          </w:p>
        </w:tc>
      </w:tr>
      <w:tr>
        <w:tc>
          <w:tcPr>
            <w:tcW w:type="dxa" w:w="3402"/>
          </w:tcPr>
          <w:p>
            <w:pPr>
              <w:spacing w:after="20" w:before="0"/>
            </w:pPr>
            <w:r>
              <w:rPr>
                <w:rFonts w:ascii="Calibri" w:hAnsi="Calibri" w:eastAsia="Calibri"/>
                <w:sz w:val="19"/>
              </w:rPr>
              <w:t>Impôt sur les bénéfices</w:t>
            </w:r>
          </w:p>
        </w:tc>
        <w:tc>
          <w:tcPr>
            <w:tcW w:type="dxa" w:w="2041"/>
          </w:tcPr>
          <w:p>
            <w:pPr>
              <w:spacing w:after="20" w:before="0"/>
            </w:pPr>
            <w:r>
              <w:rPr>
                <w:rFonts w:ascii="Calibri" w:hAnsi="Calibri" w:eastAsia="Calibri"/>
                <w:sz w:val="19"/>
                <w:highlight w:val="yellow"/>
              </w:rPr>
              <w:t>[…] €</w:t>
            </w:r>
          </w:p>
        </w:tc>
        <w:tc>
          <w:tcPr>
            <w:tcW w:type="dxa" w:w="2041"/>
          </w:tcPr>
          <w:p>
            <w:pPr>
              <w:spacing w:after="20" w:before="0"/>
            </w:pPr>
            <w:r>
              <w:rPr>
                <w:rFonts w:ascii="Calibri" w:hAnsi="Calibri" w:eastAsia="Calibri"/>
                <w:sz w:val="19"/>
                <w:highlight w:val="yellow"/>
              </w:rPr>
              <w:t>[…] €</w:t>
            </w:r>
          </w:p>
        </w:tc>
        <w:tc>
          <w:tcPr>
            <w:tcW w:type="dxa" w:w="1871"/>
          </w:tcPr>
          <w:p>
            <w:pPr>
              <w:spacing w:after="20" w:before="0"/>
            </w:pPr>
            <w:r>
              <w:rPr>
                <w:rFonts w:ascii="Calibri" w:hAnsi="Calibri" w:eastAsia="Calibri"/>
                <w:sz w:val="19"/>
                <w:highlight w:val="yellow"/>
              </w:rPr>
              <w:t>[…] %</w:t>
            </w:r>
          </w:p>
        </w:tc>
      </w:tr>
      <w:tr>
        <w:tc>
          <w:tcPr>
            <w:tcW w:type="dxa" w:w="3402"/>
          </w:tcPr>
          <w:p>
            <w:pPr>
              <w:spacing w:after="20" w:before="0"/>
            </w:pPr>
            <w:r>
              <w:rPr>
                <w:rFonts w:ascii="Calibri" w:hAnsi="Calibri" w:eastAsia="Calibri"/>
                <w:b/>
                <w:sz w:val="19"/>
              </w:rPr>
              <w:t>Résultat net</w:t>
            </w:r>
          </w:p>
        </w:tc>
        <w:tc>
          <w:tcPr>
            <w:tcW w:type="dxa" w:w="2041"/>
          </w:tcPr>
          <w:p>
            <w:pPr>
              <w:spacing w:after="20" w:before="0"/>
            </w:pPr>
            <w:r>
              <w:rPr>
                <w:rFonts w:ascii="Calibri" w:hAnsi="Calibri" w:eastAsia="Calibri"/>
                <w:sz w:val="19"/>
                <w:highlight w:val="yellow"/>
              </w:rPr>
              <w:t>[…] €</w:t>
            </w:r>
          </w:p>
        </w:tc>
        <w:tc>
          <w:tcPr>
            <w:tcW w:type="dxa" w:w="2041"/>
          </w:tcPr>
          <w:p>
            <w:pPr>
              <w:spacing w:after="20" w:before="0"/>
            </w:pPr>
            <w:r>
              <w:rPr>
                <w:rFonts w:ascii="Calibri" w:hAnsi="Calibri" w:eastAsia="Calibri"/>
                <w:sz w:val="19"/>
                <w:highlight w:val="yellow"/>
              </w:rPr>
              <w:t>[…] €</w:t>
            </w:r>
          </w:p>
        </w:tc>
        <w:tc>
          <w:tcPr>
            <w:tcW w:type="dxa" w:w="1871"/>
          </w:tcPr>
          <w:p>
            <w:pPr>
              <w:spacing w:after="20" w:before="0"/>
            </w:pPr>
            <w:r>
              <w:rPr>
                <w:rFonts w:ascii="Calibri" w:hAnsi="Calibri" w:eastAsia="Calibri"/>
                <w:sz w:val="19"/>
                <w:highlight w:val="yellow"/>
              </w:rPr>
              <w:t>[…] %</w:t>
            </w:r>
          </w:p>
        </w:tc>
      </w:tr>
      <w:tr>
        <w:tc>
          <w:tcPr>
            <w:tcW w:type="dxa" w:w="3402"/>
          </w:tcPr>
          <w:p>
            <w:pPr>
              <w:spacing w:after="20" w:before="0"/>
            </w:pPr>
            <w:r>
              <w:rPr>
                <w:rFonts w:ascii="Calibri" w:hAnsi="Calibri" w:eastAsia="Calibri"/>
                <w:sz w:val="19"/>
              </w:rPr>
              <w:t>Capitaux propres</w:t>
            </w:r>
          </w:p>
        </w:tc>
        <w:tc>
          <w:tcPr>
            <w:tcW w:type="dxa" w:w="2041"/>
          </w:tcPr>
          <w:p>
            <w:pPr>
              <w:spacing w:after="20" w:before="0"/>
            </w:pPr>
            <w:r>
              <w:rPr>
                <w:rFonts w:ascii="Calibri" w:hAnsi="Calibri" w:eastAsia="Calibri"/>
                <w:sz w:val="19"/>
                <w:highlight w:val="yellow"/>
              </w:rPr>
              <w:t>[…] €</w:t>
            </w:r>
          </w:p>
        </w:tc>
        <w:tc>
          <w:tcPr>
            <w:tcW w:type="dxa" w:w="2041"/>
          </w:tcPr>
          <w:p>
            <w:pPr>
              <w:spacing w:after="20" w:before="0"/>
            </w:pPr>
            <w:r>
              <w:rPr>
                <w:rFonts w:ascii="Calibri" w:hAnsi="Calibri" w:eastAsia="Calibri"/>
                <w:sz w:val="19"/>
                <w:highlight w:val="yellow"/>
              </w:rPr>
              <w:t>[…] €</w:t>
            </w:r>
          </w:p>
        </w:tc>
        <w:tc>
          <w:tcPr>
            <w:tcW w:type="dxa" w:w="1871"/>
          </w:tcPr>
          <w:p>
            <w:pPr>
              <w:spacing w:after="20" w:before="0"/>
            </w:pPr>
            <w:r>
              <w:rPr>
                <w:rFonts w:ascii="Calibri" w:hAnsi="Calibri" w:eastAsia="Calibri"/>
                <w:sz w:val="19"/>
                <w:highlight w:val="yellow"/>
              </w:rPr>
              <w:t>[…] %</w:t>
            </w:r>
          </w:p>
        </w:tc>
      </w:tr>
      <w:tr>
        <w:tc>
          <w:tcPr>
            <w:tcW w:type="dxa" w:w="3402"/>
          </w:tcPr>
          <w:p>
            <w:pPr>
              <w:spacing w:after="20" w:before="0"/>
            </w:pPr>
            <w:r>
              <w:rPr>
                <w:rFonts w:ascii="Calibri" w:hAnsi="Calibri" w:eastAsia="Calibri"/>
                <w:sz w:val="19"/>
              </w:rPr>
              <w:t>Dettes financières</w:t>
            </w:r>
          </w:p>
        </w:tc>
        <w:tc>
          <w:tcPr>
            <w:tcW w:type="dxa" w:w="2041"/>
          </w:tcPr>
          <w:p>
            <w:pPr>
              <w:spacing w:after="20" w:before="0"/>
            </w:pPr>
            <w:r>
              <w:rPr>
                <w:rFonts w:ascii="Calibri" w:hAnsi="Calibri" w:eastAsia="Calibri"/>
                <w:sz w:val="19"/>
                <w:highlight w:val="yellow"/>
              </w:rPr>
              <w:t>[…] €</w:t>
            </w:r>
          </w:p>
        </w:tc>
        <w:tc>
          <w:tcPr>
            <w:tcW w:type="dxa" w:w="2041"/>
          </w:tcPr>
          <w:p>
            <w:pPr>
              <w:spacing w:after="20" w:before="0"/>
            </w:pPr>
            <w:r>
              <w:rPr>
                <w:rFonts w:ascii="Calibri" w:hAnsi="Calibri" w:eastAsia="Calibri"/>
                <w:sz w:val="19"/>
                <w:highlight w:val="yellow"/>
              </w:rPr>
              <w:t>[…] €</w:t>
            </w:r>
          </w:p>
        </w:tc>
        <w:tc>
          <w:tcPr>
            <w:tcW w:type="dxa" w:w="1871"/>
          </w:tcPr>
          <w:p>
            <w:pPr>
              <w:spacing w:after="20" w:before="0"/>
            </w:pPr>
            <w:r>
              <w:rPr>
                <w:rFonts w:ascii="Calibri" w:hAnsi="Calibri" w:eastAsia="Calibri"/>
                <w:sz w:val="19"/>
                <w:highlight w:val="yellow"/>
              </w:rPr>
              <w:t>[…] %</w:t>
            </w:r>
          </w:p>
        </w:tc>
      </w:tr>
      <w:tr>
        <w:tc>
          <w:tcPr>
            <w:tcW w:type="dxa" w:w="3402"/>
          </w:tcPr>
          <w:p>
            <w:pPr>
              <w:spacing w:after="20" w:before="0"/>
            </w:pPr>
            <w:r>
              <w:rPr>
                <w:rFonts w:ascii="Calibri" w:hAnsi="Calibri" w:eastAsia="Calibri"/>
                <w:sz w:val="19"/>
              </w:rPr>
              <w:t>Effectif moyen</w:t>
            </w:r>
          </w:p>
        </w:tc>
        <w:tc>
          <w:tcPr>
            <w:tcW w:type="dxa" w:w="2041"/>
          </w:tcPr>
          <w:p>
            <w:pPr>
              <w:spacing w:after="20" w:before="0"/>
            </w:pPr>
            <w:r>
              <w:rPr>
                <w:rFonts w:ascii="Calibri" w:hAnsi="Calibri" w:eastAsia="Calibri"/>
                <w:sz w:val="19"/>
                <w:highlight w:val="yellow"/>
              </w:rPr>
              <w:t>[…]</w:t>
            </w:r>
          </w:p>
        </w:tc>
        <w:tc>
          <w:tcPr>
            <w:tcW w:type="dxa" w:w="2041"/>
          </w:tcPr>
          <w:p>
            <w:pPr>
              <w:spacing w:after="20" w:before="0"/>
            </w:pPr>
            <w:r>
              <w:rPr>
                <w:rFonts w:ascii="Calibri" w:hAnsi="Calibri" w:eastAsia="Calibri"/>
                <w:sz w:val="19"/>
                <w:highlight w:val="yellow"/>
              </w:rPr>
              <w:t>[…]</w:t>
            </w:r>
          </w:p>
        </w:tc>
        <w:tc>
          <w:tcPr>
            <w:tcW w:type="dxa" w:w="1871"/>
          </w:tcPr>
          <w:p>
            <w:pPr>
              <w:spacing w:after="20" w:before="0"/>
            </w:pPr>
            <w:r>
              <w:rPr>
                <w:rFonts w:ascii="Calibri" w:hAnsi="Calibri" w:eastAsia="Calibri"/>
                <w:sz w:val="19"/>
                <w:highlight w:val="yellow"/>
              </w:rPr>
              <w:t>[…]</w:t>
            </w:r>
          </w:p>
        </w:tc>
      </w:tr>
    </w:tbl>
    <w:p>
      <w:pPr>
        <w:spacing w:after="120"/>
      </w:pPr>
    </w:p>
    <w:p>
      <w:pPr>
        <w:spacing w:after="160" w:before="0"/>
        <w:jc w:val="both"/>
      </w:pPr>
      <w:r>
        <w:rPr>
          <w:rFonts w:ascii="Calibri" w:hAnsi="Calibri" w:eastAsia="Calibri"/>
          <w:sz w:val="22"/>
          <w:highlight w:val="yellow"/>
        </w:rPr>
        <w:t>[Le cas échéant : renvois aux montants des comptes annuels et explications complémentaires.]</w:t>
      </w:r>
    </w:p>
    <w:p>
      <w:pPr>
        <w:spacing w:after="120" w:before="0"/>
      </w:pPr>
      <w:r>
        <w:rPr>
          <w:rFonts w:ascii="Calibri" w:hAnsi="Calibri" w:eastAsia="Calibri"/>
          <w:b/>
          <w:sz w:val="22"/>
        </w:rPr>
        <w:t>2. Indicateurs clés de performance</w:t>
      </w:r>
    </w:p>
    <w:p>
      <w:pPr>
        <w:spacing w:after="160" w:before="0"/>
        <w:jc w:val="both"/>
      </w:pPr>
      <w:r>
        <w:rPr>
          <w:rFonts w:ascii="Calibri" w:hAnsi="Calibri" w:eastAsia="Calibri"/>
          <w:sz w:val="22"/>
          <w:highlight w:val="yellow"/>
        </w:rPr>
        <w:t>[Dans la mesure nécessaire à la compréhension de l’évolution des affaires, des résultats ou de la situation : indicateurs financiers (marge, délai d’encaissement, trésorerie…) et, le cas échéant, non financiers propres à l’activité, notamment en matière d’environnement et de personnel.]</w:t>
      </w:r>
    </w:p>
    <w:p>
      <w:pPr>
        <w:spacing w:after="120" w:before="0"/>
      </w:pPr>
      <w:r>
        <w:rPr>
          <w:rFonts w:ascii="Calibri" w:hAnsi="Calibri" w:eastAsia="Calibri"/>
          <w:b/>
          <w:sz w:val="22"/>
        </w:rPr>
        <w:t>3. Principaux risques et incertitudes</w:t>
      </w:r>
    </w:p>
    <w:p>
      <w:pPr>
        <w:spacing w:after="160" w:before="0"/>
        <w:jc w:val="both"/>
      </w:pPr>
      <w:r>
        <w:rPr>
          <w:rFonts w:ascii="Calibri" w:hAnsi="Calibri" w:eastAsia="Calibri"/>
          <w:sz w:val="22"/>
          <w:highlight w:val="yellow"/>
        </w:rPr>
        <w:t>[Dépendance à l’égard d’un client ou d’un fournisseur, litiges en cours, évolution réglementaire, risque de trésorerie…]</w:t>
      </w:r>
    </w:p>
    <w:p>
      <w:pPr>
        <w:spacing w:after="160" w:before="0"/>
        <w:jc w:val="both"/>
      </w:pPr>
      <w:r>
        <w:rPr>
          <w:rFonts w:ascii="Calibri" w:hAnsi="Calibri" w:eastAsia="Calibri"/>
          <w:sz w:val="22"/>
          <w:highlight w:val="yellow"/>
        </w:rPr>
        <w:t>[Si cela est pertinent : utilisation d’instruments financiers, objectifs et politique de couverture, exposition aux risques de prix, de crédit, de liquidité et de trésorerie.]</w:t>
      </w:r>
    </w:p>
    <w:p>
      <w:pPr>
        <w:spacing w:after="120" w:before="0"/>
      </w:pPr>
      <w:r>
        <w:rPr>
          <w:rFonts w:ascii="Calibri" w:hAnsi="Calibri" w:eastAsia="Calibri"/>
          <w:b/>
          <w:sz w:val="22"/>
        </w:rPr>
        <w:t>4. Événements importants survenus depuis la clôture de l’exercice</w:t>
      </w:r>
    </w:p>
    <w:p>
      <w:pPr>
        <w:spacing w:after="160" w:before="0"/>
        <w:jc w:val="both"/>
      </w:pPr>
      <w:r>
        <w:rPr>
          <w:rFonts w:ascii="Calibri" w:hAnsi="Calibri" w:eastAsia="Calibri"/>
          <w:sz w:val="22"/>
          <w:highlight w:val="yellow"/>
        </w:rPr>
        <w:t>[Description des événements importants survenus entre la date de clôture et la date d’établissement du présent rapport / Néant.]</w:t>
      </w:r>
    </w:p>
    <w:p>
      <w:pPr>
        <w:spacing w:after="120" w:before="0"/>
      </w:pPr>
      <w:r>
        <w:rPr>
          <w:rFonts w:ascii="Calibri" w:hAnsi="Calibri" w:eastAsia="Calibri"/>
          <w:b/>
          <w:sz w:val="22"/>
        </w:rPr>
        <w:t>5. Évolution prévisible et perspectives</w:t>
      </w:r>
    </w:p>
    <w:p>
      <w:pPr>
        <w:spacing w:after="160" w:before="0"/>
        <w:jc w:val="both"/>
      </w:pPr>
      <w:r>
        <w:rPr>
          <w:rFonts w:ascii="Calibri" w:hAnsi="Calibri" w:eastAsia="Calibri"/>
          <w:sz w:val="22"/>
          <w:highlight w:val="yellow"/>
        </w:rPr>
        <w:t>[Perspectives de l’exercice en cours et des suivants.]</w:t>
      </w:r>
    </w:p>
    <w:p>
      <w:pPr>
        <w:spacing w:after="120" w:before="0"/>
      </w:pPr>
      <w:r>
        <w:rPr>
          <w:rFonts w:ascii="Calibri" w:hAnsi="Calibri" w:eastAsia="Calibri"/>
          <w:b/>
          <w:sz w:val="22"/>
        </w:rPr>
        <w:t>5 bis. Mécénat</w:t>
      </w:r>
    </w:p>
    <w:p>
      <w:pPr>
        <w:spacing w:after="160" w:before="0"/>
        <w:jc w:val="both"/>
      </w:pPr>
      <w:r>
        <w:rPr>
          <w:rFonts w:ascii="Calibri" w:hAnsi="Calibri" w:eastAsia="Calibri"/>
          <w:sz w:val="22"/>
          <w:highlight w:val="yellow"/>
        </w:rPr>
        <w:t>[À compter du 1er janvier 2027 (C. com., art. L. 232-1, II, 5° bis, issu de la loi n° 2026-403 du 26 mai 2026) : principales mesures mises en œuvre par la société en matière de mécénat ; dons et versements ouvrant droit à la réduction d’impôt de l’article 238 bis du code général des impôts ; identité des bénéficiaires ; actions soutenues ; effets attendus ; le cas échéant, valeur des biens et des services reçus en contrepartie. / La société n’a mis en œuvre aucune mesure de mécénat au cours de l’exercice. — Rapport établi avant le 1er janvier 2027 : rubrique facultative, à supprimer ou à conserver.]</w:t>
      </w:r>
    </w:p>
    <w:p>
      <w:pPr>
        <w:spacing w:after="120" w:before="0"/>
      </w:pPr>
      <w:r>
        <w:rPr>
          <w:rFonts w:ascii="Calibri" w:hAnsi="Calibri" w:eastAsia="Calibri"/>
          <w:b/>
          <w:sz w:val="22"/>
        </w:rPr>
        <w:t>6. Recherche et développement</w:t>
      </w:r>
    </w:p>
    <w:p>
      <w:pPr>
        <w:spacing w:after="160" w:before="0"/>
        <w:jc w:val="both"/>
      </w:pPr>
      <w:r>
        <w:rPr>
          <w:rFonts w:ascii="Calibri" w:hAnsi="Calibri" w:eastAsia="Calibri"/>
          <w:sz w:val="22"/>
          <w:highlight w:val="yellow"/>
        </w:rPr>
        <w:t>[Activités de la société en matière de recherche et de développement / La société n’a pas exercé d’activité de recherche et de développement au cours de l’exercice.]</w:t>
      </w:r>
    </w:p>
    <w:p>
      <w:pPr>
        <w:spacing w:after="120" w:before="0"/>
      </w:pPr>
      <w:r>
        <w:rPr>
          <w:rFonts w:ascii="Calibri" w:hAnsi="Calibri" w:eastAsia="Calibri"/>
          <w:b/>
          <w:sz w:val="22"/>
        </w:rPr>
        <w:t>7. Succursales</w:t>
      </w:r>
    </w:p>
    <w:p>
      <w:pPr>
        <w:spacing w:after="160" w:before="0"/>
        <w:jc w:val="both"/>
      </w:pPr>
      <w:r>
        <w:rPr>
          <w:rFonts w:ascii="Calibri" w:hAnsi="Calibri" w:eastAsia="Calibri"/>
          <w:sz w:val="22"/>
          <w:highlight w:val="yellow"/>
        </w:rPr>
        <w:t>[La société n’a pas de succursale. / La société dispose des succursales suivantes : …]</w:t>
      </w:r>
    </w:p>
    <w:p>
      <w:pPr>
        <w:spacing w:after="120" w:before="0"/>
      </w:pPr>
      <w:r>
        <w:rPr>
          <w:rFonts w:ascii="Calibri" w:hAnsi="Calibri" w:eastAsia="Calibri"/>
          <w:b/>
          <w:sz w:val="22"/>
        </w:rPr>
        <w:t>8. Prises de participation et sociétés contrôlées</w:t>
      </w:r>
    </w:p>
    <w:p>
      <w:pPr>
        <w:spacing w:after="160" w:before="0"/>
        <w:jc w:val="both"/>
      </w:pPr>
      <w:r>
        <w:rPr>
          <w:rFonts w:ascii="Calibri" w:hAnsi="Calibri" w:eastAsia="Calibri"/>
          <w:sz w:val="22"/>
          <w:highlight w:val="yellow"/>
        </w:rPr>
        <w:t>[Néant. / Au cours de l’exercice, la société a pris une participation de … % dans la société …, dont le siège est en France, ou en a pris le contrôle. Activité et résultats des filiales et sociétés contrôlées : …]</w:t>
      </w:r>
    </w:p>
    <w:p>
      <w:pPr>
        <w:spacing w:after="120" w:before="0"/>
      </w:pPr>
      <w:r>
        <w:rPr>
          <w:rFonts w:ascii="Calibri" w:hAnsi="Calibri" w:eastAsia="Calibri"/>
          <w:b/>
          <w:sz w:val="22"/>
        </w:rPr>
        <w:t>9. Délais de paiement des fournisseurs et des clients</w:t>
      </w:r>
    </w:p>
    <w:p>
      <w:pPr>
        <w:spacing w:after="160" w:before="0"/>
        <w:jc w:val="both"/>
      </w:pPr>
      <w:r>
        <w:rPr>
          <w:rFonts w:ascii="Calibri" w:hAnsi="Calibri" w:eastAsia="Calibri"/>
          <w:sz w:val="22"/>
          <w:highlight w:val="yellow"/>
        </w:rPr>
        <w:t>[Uniquement si les comptes annuels sont certifiés par un commissaire aux comptes : tableaux établis selon le modèle fixé par arrêté, indiquant, pour les fournisseurs, le nombre et le montant total des factures reçues non réglées à la clôture dont le terme est échu et, pour les clients, le nombre et le montant total des factures émises non réglées à la clôture dont le terme est échu, ces montants étant ventilés par tranches de retard et rapportés en pourcentage du montant total des achats de l’exercice (fournisseurs) et du chiffre d’affaires de l’exercice (clients) ; ou, au choix, le nombre et le montant cumulés des factures reçues et émises ayant connu un retard de paiement au cours de l’exercice, ventilés par tranches de retard et rapportés au nombre et au montant total des factures reçues et émises dans l’année (C. com., art. D. 441-6, II). Préciser si les montants sont présentés hors taxe ou toutes taxes comprises ; si des factures relatives à des dettes et créances litigieuses ou non comptabilisées sont exclues, l’indiquer en commentaire avec leur nombre et leur montant total. Sinon, supprimer cette rubrique.]</w:t>
      </w:r>
    </w:p>
    <w:p>
      <w:pPr>
        <w:spacing w:after="120" w:before="0"/>
      </w:pPr>
      <w:r>
        <w:rPr>
          <w:rFonts w:ascii="Calibri" w:hAnsi="Calibri" w:eastAsia="Calibri"/>
          <w:b/>
          <w:sz w:val="22"/>
        </w:rPr>
        <w:t xml:space="preserve">9 bis. </w:t>
      </w:r>
      <w:r>
        <w:rPr>
          <w:rFonts w:ascii="Calibri" w:hAnsi="Calibri" w:eastAsia="Calibri"/>
          <w:b/>
          <w:sz w:val="22"/>
          <w:highlight w:val="yellow"/>
        </w:rPr>
        <w:t>[Prêts interentreprises]</w:t>
      </w:r>
    </w:p>
    <w:p>
      <w:pPr>
        <w:spacing w:after="160" w:before="0"/>
        <w:jc w:val="both"/>
      </w:pPr>
      <w:r>
        <w:rPr>
          <w:rFonts w:ascii="Calibri" w:hAnsi="Calibri" w:eastAsia="Calibri"/>
          <w:sz w:val="22"/>
          <w:highlight w:val="yellow"/>
        </w:rPr>
        <w:t>[Uniquement si la société a consenti des prêts sur le fondement de l’article L. 511-6, 3 bis, du code monétaire et financier : montant des prêts consentis, qui fait l’objet d’une attestation du commissaire aux comptes. Sinon, supprimer cette rubrique.]</w:t>
      </w:r>
    </w:p>
    <w:p>
      <w:pPr>
        <w:spacing w:after="120" w:before="0"/>
      </w:pPr>
      <w:r>
        <w:rPr>
          <w:rFonts w:ascii="Calibri" w:hAnsi="Calibri" w:eastAsia="Calibri"/>
          <w:b/>
          <w:sz w:val="22"/>
        </w:rPr>
        <w:t>10. Proposition d’affectation du résultat</w:t>
      </w:r>
    </w:p>
    <w:p>
      <w:pPr>
        <w:spacing w:after="80" w:before="0"/>
        <w:jc w:val="both"/>
      </w:pPr>
      <w:r>
        <w:rPr>
          <w:rFonts w:ascii="Calibri" w:hAnsi="Calibri" w:eastAsia="Calibri"/>
          <w:sz w:val="22"/>
        </w:rPr>
        <w:t xml:space="preserve">Nous vous proposons d’affecter </w:t>
      </w:r>
      <w:r>
        <w:rPr>
          <w:rFonts w:ascii="Calibri" w:hAnsi="Calibri" w:eastAsia="Calibri"/>
          <w:sz w:val="22"/>
          <w:highlight w:val="yellow"/>
        </w:rPr>
        <w:t>[le bénéfice / la perte]</w:t>
      </w:r>
      <w:r>
        <w:rPr>
          <w:rFonts w:ascii="Calibri" w:hAnsi="Calibri" w:eastAsia="Calibri"/>
          <w:sz w:val="22"/>
        </w:rPr>
        <w:t xml:space="preserve"> de l’exercice, soit </w:t>
      </w:r>
      <w:r>
        <w:rPr>
          <w:rFonts w:ascii="Calibri" w:hAnsi="Calibri" w:eastAsia="Calibri"/>
          <w:sz w:val="22"/>
          <w:highlight w:val="yellow"/>
        </w:rPr>
        <w:t>[montant]</w:t>
      </w:r>
      <w:r>
        <w:rPr>
          <w:rFonts w:ascii="Calibri" w:hAnsi="Calibri" w:eastAsia="Calibri"/>
          <w:sz w:val="22"/>
        </w:rPr>
        <w:t xml:space="preserve"> €, de la manière suivante :</w:t>
      </w:r>
    </w:p>
    <w:tbl>
      <w:tblPr>
        <w:tblStyle w:val="TableGrid"/>
        <w:tblW w:type="auto" w:w="0"/>
        <w:jc w:val="center"/>
        <w:tblLayout w:type="fixed"/>
        <w:tblLook w:firstColumn="1" w:firstRow="1" w:lastColumn="0" w:lastRow="0" w:noHBand="0" w:noVBand="1" w:val="04A0"/>
      </w:tblPr>
      <w:tblGrid>
        <w:gridCol w:w="6803"/>
        <w:gridCol w:w="2551"/>
      </w:tblGrid>
      <w:tr>
        <w:tc>
          <w:tcPr>
            <w:tcW w:type="dxa" w:w="6803"/>
            <w:shd w:val="clear" w:color="auto" w:fill="EEF1F4"/>
          </w:tcPr>
          <w:p>
            <w:pPr>
              <w:spacing w:after="20" w:before="0"/>
            </w:pPr>
            <w:r>
              <w:rPr>
                <w:rFonts w:ascii="Calibri" w:hAnsi="Calibri" w:eastAsia="Calibri"/>
                <w:b/>
                <w:sz w:val="19"/>
              </w:rPr>
              <w:t>Poste</w:t>
            </w:r>
          </w:p>
        </w:tc>
        <w:tc>
          <w:tcPr>
            <w:tcW w:type="dxa" w:w="2551"/>
            <w:shd w:val="clear" w:color="auto" w:fill="EEF1F4"/>
          </w:tcPr>
          <w:p>
            <w:pPr>
              <w:spacing w:after="20" w:before="0"/>
            </w:pPr>
            <w:r>
              <w:rPr>
                <w:rFonts w:ascii="Calibri" w:hAnsi="Calibri" w:eastAsia="Calibri"/>
                <w:b/>
                <w:sz w:val="19"/>
              </w:rPr>
              <w:t>Montant</w:t>
            </w:r>
          </w:p>
        </w:tc>
      </w:tr>
      <w:tr>
        <w:tc>
          <w:tcPr>
            <w:tcW w:type="dxa" w:w="6803"/>
          </w:tcPr>
          <w:p>
            <w:pPr>
              <w:spacing w:after="20" w:before="0"/>
            </w:pPr>
            <w:r>
              <w:rPr>
                <w:rFonts w:ascii="Calibri" w:hAnsi="Calibri" w:eastAsia="Calibri"/>
                <w:sz w:val="19"/>
              </w:rPr>
              <w:t xml:space="preserve">Résultat de l’exercice </w:t>
            </w:r>
            <w:r>
              <w:rPr>
                <w:rFonts w:ascii="Calibri" w:hAnsi="Calibri" w:eastAsia="Calibri"/>
                <w:sz w:val="19"/>
                <w:highlight w:val="yellow"/>
              </w:rPr>
              <w:t>[bénéfice / perte]</w:t>
            </w:r>
          </w:p>
        </w:tc>
        <w:tc>
          <w:tcPr>
            <w:tcW w:type="dxa" w:w="2551"/>
          </w:tcPr>
          <w:p>
            <w:pPr>
              <w:spacing w:after="20" w:before="0"/>
            </w:pPr>
            <w:r>
              <w:rPr>
                <w:rFonts w:ascii="Calibri" w:hAnsi="Calibri" w:eastAsia="Calibri"/>
                <w:sz w:val="19"/>
                <w:highlight w:val="yellow"/>
              </w:rPr>
              <w:t>[…] €</w:t>
            </w:r>
          </w:p>
        </w:tc>
      </w:tr>
      <w:tr>
        <w:tc>
          <w:tcPr>
            <w:tcW w:type="dxa" w:w="6803"/>
          </w:tcPr>
          <w:p>
            <w:pPr>
              <w:spacing w:after="20" w:before="0"/>
            </w:pPr>
            <w:r>
              <w:rPr>
                <w:rFonts w:ascii="Calibri" w:hAnsi="Calibri" w:eastAsia="Calibri"/>
                <w:sz w:val="19"/>
              </w:rPr>
              <w:t xml:space="preserve">Report à nouveau antérieur </w:t>
            </w:r>
            <w:r>
              <w:rPr>
                <w:rFonts w:ascii="Calibri" w:hAnsi="Calibri" w:eastAsia="Calibri"/>
                <w:sz w:val="19"/>
                <w:highlight w:val="yellow"/>
              </w:rPr>
              <w:t>[créditeur / débiteur]</w:t>
            </w:r>
          </w:p>
        </w:tc>
        <w:tc>
          <w:tcPr>
            <w:tcW w:type="dxa" w:w="2551"/>
          </w:tcPr>
          <w:p>
            <w:pPr>
              <w:spacing w:after="20" w:before="0"/>
            </w:pPr>
            <w:r>
              <w:rPr>
                <w:rFonts w:ascii="Calibri" w:hAnsi="Calibri" w:eastAsia="Calibri"/>
                <w:sz w:val="19"/>
                <w:highlight w:val="yellow"/>
              </w:rPr>
              <w:t>[…] €</w:t>
            </w:r>
          </w:p>
        </w:tc>
      </w:tr>
      <w:tr>
        <w:tc>
          <w:tcPr>
            <w:tcW w:type="dxa" w:w="6803"/>
          </w:tcPr>
          <w:p>
            <w:pPr>
              <w:spacing w:after="20" w:before="0"/>
            </w:pPr>
            <w:r>
              <w:rPr>
                <w:rFonts w:ascii="Calibri" w:hAnsi="Calibri" w:eastAsia="Calibri"/>
                <w:b/>
                <w:sz w:val="19"/>
              </w:rPr>
              <w:t>Total à affecter</w:t>
            </w:r>
          </w:p>
        </w:tc>
        <w:tc>
          <w:tcPr>
            <w:tcW w:type="dxa" w:w="2551"/>
          </w:tcPr>
          <w:p>
            <w:pPr>
              <w:spacing w:after="20" w:before="0"/>
            </w:pPr>
            <w:r>
              <w:rPr>
                <w:rFonts w:ascii="Calibri" w:hAnsi="Calibri" w:eastAsia="Calibri"/>
                <w:sz w:val="19"/>
                <w:highlight w:val="yellow"/>
              </w:rPr>
              <w:t>[…] €</w:t>
            </w:r>
          </w:p>
        </w:tc>
      </w:tr>
      <w:tr>
        <w:tc>
          <w:tcPr>
            <w:tcW w:type="dxa" w:w="6803"/>
          </w:tcPr>
          <w:p>
            <w:pPr>
              <w:spacing w:after="20" w:before="0"/>
            </w:pPr>
            <w:r>
              <w:rPr>
                <w:rFonts w:ascii="Calibri" w:hAnsi="Calibri" w:eastAsia="Calibri"/>
                <w:sz w:val="19"/>
              </w:rPr>
              <w:t xml:space="preserve">Dotation à la réserve légale </w:t>
            </w:r>
            <w:r>
              <w:rPr>
                <w:rFonts w:ascii="Calibri" w:hAnsi="Calibri" w:eastAsia="Calibri"/>
                <w:sz w:val="19"/>
                <w:highlight w:val="yellow"/>
              </w:rPr>
              <w:t>[un vingtième au moins du bénéfice, diminué le cas échéant des pertes antérieures, tant que la réserve n’atteint pas le dixième du capital]</w:t>
            </w:r>
          </w:p>
        </w:tc>
        <w:tc>
          <w:tcPr>
            <w:tcW w:type="dxa" w:w="2551"/>
          </w:tcPr>
          <w:p>
            <w:pPr>
              <w:spacing w:after="20" w:before="0"/>
            </w:pPr>
            <w:r>
              <w:rPr>
                <w:rFonts w:ascii="Calibri" w:hAnsi="Calibri" w:eastAsia="Calibri"/>
                <w:sz w:val="19"/>
                <w:highlight w:val="yellow"/>
              </w:rPr>
              <w:t>[…] €</w:t>
            </w:r>
          </w:p>
        </w:tc>
      </w:tr>
      <w:tr>
        <w:tc>
          <w:tcPr>
            <w:tcW w:type="dxa" w:w="6803"/>
          </w:tcPr>
          <w:p>
            <w:pPr>
              <w:spacing w:after="20" w:before="0"/>
            </w:pPr>
            <w:r>
              <w:rPr>
                <w:rFonts w:ascii="Calibri" w:hAnsi="Calibri" w:eastAsia="Calibri"/>
                <w:sz w:val="19"/>
              </w:rPr>
              <w:t xml:space="preserve">Autres réserves </w:t>
            </w:r>
            <w:r>
              <w:rPr>
                <w:rFonts w:ascii="Calibri" w:hAnsi="Calibri" w:eastAsia="Calibri"/>
                <w:sz w:val="19"/>
                <w:highlight w:val="yellow"/>
              </w:rPr>
              <w:t>[statutaires / facultatives]</w:t>
            </w:r>
          </w:p>
        </w:tc>
        <w:tc>
          <w:tcPr>
            <w:tcW w:type="dxa" w:w="2551"/>
          </w:tcPr>
          <w:p>
            <w:pPr>
              <w:spacing w:after="20" w:before="0"/>
            </w:pPr>
            <w:r>
              <w:rPr>
                <w:rFonts w:ascii="Calibri" w:hAnsi="Calibri" w:eastAsia="Calibri"/>
                <w:sz w:val="19"/>
                <w:highlight w:val="yellow"/>
              </w:rPr>
              <w:t>[…] €</w:t>
            </w:r>
          </w:p>
        </w:tc>
      </w:tr>
      <w:tr>
        <w:tc>
          <w:tcPr>
            <w:tcW w:type="dxa" w:w="6803"/>
          </w:tcPr>
          <w:p>
            <w:pPr>
              <w:spacing w:after="20" w:before="0"/>
            </w:pPr>
            <w:r>
              <w:rPr>
                <w:rFonts w:ascii="Calibri" w:hAnsi="Calibri" w:eastAsia="Calibri"/>
                <w:sz w:val="19"/>
              </w:rPr>
              <w:t>Dividendes</w:t>
            </w:r>
          </w:p>
        </w:tc>
        <w:tc>
          <w:tcPr>
            <w:tcW w:type="dxa" w:w="2551"/>
          </w:tcPr>
          <w:p>
            <w:pPr>
              <w:spacing w:after="20" w:before="0"/>
            </w:pPr>
            <w:r>
              <w:rPr>
                <w:rFonts w:ascii="Calibri" w:hAnsi="Calibri" w:eastAsia="Calibri"/>
                <w:sz w:val="19"/>
                <w:highlight w:val="yellow"/>
              </w:rPr>
              <w:t>[…] €</w:t>
            </w:r>
          </w:p>
        </w:tc>
      </w:tr>
      <w:tr>
        <w:tc>
          <w:tcPr>
            <w:tcW w:type="dxa" w:w="6803"/>
          </w:tcPr>
          <w:p>
            <w:pPr>
              <w:spacing w:after="20" w:before="0"/>
            </w:pPr>
            <w:r>
              <w:rPr>
                <w:rFonts w:ascii="Calibri" w:hAnsi="Calibri" w:eastAsia="Calibri"/>
                <w:b/>
                <w:sz w:val="19"/>
              </w:rPr>
              <w:t>Nouveau solde du report à nouveau</w:t>
            </w:r>
          </w:p>
        </w:tc>
        <w:tc>
          <w:tcPr>
            <w:tcW w:type="dxa" w:w="2551"/>
          </w:tcPr>
          <w:p>
            <w:pPr>
              <w:spacing w:after="20" w:before="0"/>
            </w:pPr>
            <w:r>
              <w:rPr>
                <w:rFonts w:ascii="Calibri" w:hAnsi="Calibri" w:eastAsia="Calibri"/>
                <w:sz w:val="19"/>
                <w:highlight w:val="yellow"/>
              </w:rPr>
              <w:t>[…] €</w:t>
            </w:r>
          </w:p>
        </w:tc>
      </w:tr>
    </w:tbl>
    <w:p>
      <w:pPr>
        <w:spacing w:after="120"/>
      </w:pPr>
    </w:p>
    <w:p>
      <w:pPr>
        <w:spacing w:after="80" w:before="0"/>
        <w:jc w:val="both"/>
      </w:pPr>
      <w:r>
        <w:rPr>
          <w:rFonts w:ascii="Calibri" w:hAnsi="Calibri" w:eastAsia="Calibri"/>
          <w:sz w:val="22"/>
        </w:rPr>
        <w:t xml:space="preserve">Conformément à l’article 243 bis du code général des impôts, nous vous rappelons que les dividendes mis en distribution au titre des trois exercices précédents ont été les suivants </w:t>
      </w:r>
      <w:r>
        <w:rPr>
          <w:rFonts w:ascii="Calibri" w:hAnsi="Calibri" w:eastAsia="Calibri"/>
          <w:sz w:val="22"/>
          <w:highlight w:val="yellow"/>
        </w:rPr>
        <w:t>[ou : qu’aucun dividende n’a été mis en distribution au titre des trois exercices précédents]</w:t>
      </w:r>
      <w:r>
        <w:rPr>
          <w:rFonts w:ascii="Calibri" w:hAnsi="Calibri" w:eastAsia="Calibri"/>
          <w:sz w:val="22"/>
        </w:rPr>
        <w:t xml:space="preserve"> :</w:t>
      </w:r>
    </w:p>
    <w:tbl>
      <w:tblPr>
        <w:tblStyle w:val="TableGrid"/>
        <w:tblW w:type="auto" w:w="0"/>
        <w:jc w:val="center"/>
        <w:tblLayout w:type="fixed"/>
        <w:tblLook w:firstColumn="1" w:firstRow="1" w:lastColumn="0" w:lastRow="0" w:noHBand="0" w:noVBand="1" w:val="04A0"/>
      </w:tblPr>
      <w:tblGrid>
        <w:gridCol w:w="1814"/>
        <w:gridCol w:w="2381"/>
        <w:gridCol w:w="3005"/>
        <w:gridCol w:w="2154"/>
      </w:tblGrid>
      <w:tr>
        <w:tc>
          <w:tcPr>
            <w:tcW w:type="dxa" w:w="1814"/>
            <w:shd w:val="clear" w:color="auto" w:fill="EEF1F4"/>
          </w:tcPr>
          <w:p>
            <w:pPr>
              <w:spacing w:after="20" w:before="0"/>
            </w:pPr>
            <w:r>
              <w:rPr>
                <w:rFonts w:ascii="Calibri" w:hAnsi="Calibri" w:eastAsia="Calibri"/>
                <w:b/>
                <w:sz w:val="18"/>
              </w:rPr>
              <w:t>Exercice clos le</w:t>
            </w:r>
          </w:p>
        </w:tc>
        <w:tc>
          <w:tcPr>
            <w:tcW w:type="dxa" w:w="2381"/>
            <w:shd w:val="clear" w:color="auto" w:fill="EEF1F4"/>
          </w:tcPr>
          <w:p>
            <w:pPr>
              <w:spacing w:after="20" w:before="0"/>
            </w:pPr>
            <w:r>
              <w:rPr>
                <w:rFonts w:ascii="Calibri" w:hAnsi="Calibri" w:eastAsia="Calibri"/>
                <w:b/>
                <w:sz w:val="18"/>
              </w:rPr>
              <w:t>Dividendes mis en distribution</w:t>
            </w:r>
          </w:p>
        </w:tc>
        <w:tc>
          <w:tcPr>
            <w:tcW w:type="dxa" w:w="3005"/>
            <w:shd w:val="clear" w:color="auto" w:fill="EEF1F4"/>
          </w:tcPr>
          <w:p>
            <w:pPr>
              <w:spacing w:after="20" w:before="0"/>
            </w:pPr>
            <w:r>
              <w:rPr>
                <w:rFonts w:ascii="Calibri" w:hAnsi="Calibri" w:eastAsia="Calibri"/>
                <w:b/>
                <w:sz w:val="18"/>
              </w:rPr>
              <w:t>Revenus éligibles à l’abattement de 40 % (CGI, art. 158, 3, 2°)</w:t>
            </w:r>
          </w:p>
        </w:tc>
        <w:tc>
          <w:tcPr>
            <w:tcW w:type="dxa" w:w="2154"/>
            <w:shd w:val="clear" w:color="auto" w:fill="EEF1F4"/>
          </w:tcPr>
          <w:p>
            <w:pPr>
              <w:spacing w:after="20" w:before="0"/>
            </w:pPr>
            <w:r>
              <w:rPr>
                <w:rFonts w:ascii="Calibri" w:hAnsi="Calibri" w:eastAsia="Calibri"/>
                <w:b/>
                <w:sz w:val="18"/>
              </w:rPr>
              <w:t>Revenus non éligibles</w:t>
            </w:r>
          </w:p>
        </w:tc>
      </w:tr>
      <w:tr>
        <w:tc>
          <w:tcPr>
            <w:tcW w:type="dxa" w:w="1814"/>
          </w:tcPr>
          <w:p>
            <w:pPr>
              <w:spacing w:after="20" w:before="0"/>
            </w:pPr>
            <w:r>
              <w:rPr>
                <w:rFonts w:ascii="Calibri" w:hAnsi="Calibri" w:eastAsia="Calibri"/>
                <w:sz w:val="18"/>
                <w:highlight w:val="yellow"/>
              </w:rPr>
              <w:t>[N-1]</w:t>
            </w:r>
          </w:p>
        </w:tc>
        <w:tc>
          <w:tcPr>
            <w:tcW w:type="dxa" w:w="2381"/>
          </w:tcPr>
          <w:p>
            <w:pPr>
              <w:spacing w:after="20" w:before="0"/>
            </w:pPr>
            <w:r>
              <w:rPr>
                <w:rFonts w:ascii="Calibri" w:hAnsi="Calibri" w:eastAsia="Calibri"/>
                <w:sz w:val="18"/>
                <w:highlight w:val="yellow"/>
              </w:rPr>
              <w:t>[…] €</w:t>
            </w:r>
          </w:p>
        </w:tc>
        <w:tc>
          <w:tcPr>
            <w:tcW w:type="dxa" w:w="3005"/>
          </w:tcPr>
          <w:p>
            <w:pPr>
              <w:spacing w:after="20" w:before="0"/>
            </w:pPr>
            <w:r>
              <w:rPr>
                <w:rFonts w:ascii="Calibri" w:hAnsi="Calibri" w:eastAsia="Calibri"/>
                <w:sz w:val="18"/>
                <w:highlight w:val="yellow"/>
              </w:rPr>
              <w:t>[…] €</w:t>
            </w:r>
          </w:p>
        </w:tc>
        <w:tc>
          <w:tcPr>
            <w:tcW w:type="dxa" w:w="2154"/>
          </w:tcPr>
          <w:p>
            <w:pPr>
              <w:spacing w:after="20" w:before="0"/>
            </w:pPr>
            <w:r>
              <w:rPr>
                <w:rFonts w:ascii="Calibri" w:hAnsi="Calibri" w:eastAsia="Calibri"/>
                <w:sz w:val="18"/>
                <w:highlight w:val="yellow"/>
              </w:rPr>
              <w:t>[…] €</w:t>
            </w:r>
          </w:p>
        </w:tc>
      </w:tr>
      <w:tr>
        <w:tc>
          <w:tcPr>
            <w:tcW w:type="dxa" w:w="1814"/>
          </w:tcPr>
          <w:p>
            <w:pPr>
              <w:spacing w:after="20" w:before="0"/>
            </w:pPr>
            <w:r>
              <w:rPr>
                <w:rFonts w:ascii="Calibri" w:hAnsi="Calibri" w:eastAsia="Calibri"/>
                <w:sz w:val="18"/>
                <w:highlight w:val="yellow"/>
              </w:rPr>
              <w:t>[N-2]</w:t>
            </w:r>
          </w:p>
        </w:tc>
        <w:tc>
          <w:tcPr>
            <w:tcW w:type="dxa" w:w="2381"/>
          </w:tcPr>
          <w:p>
            <w:pPr>
              <w:spacing w:after="20" w:before="0"/>
            </w:pPr>
            <w:r>
              <w:rPr>
                <w:rFonts w:ascii="Calibri" w:hAnsi="Calibri" w:eastAsia="Calibri"/>
                <w:sz w:val="18"/>
                <w:highlight w:val="yellow"/>
              </w:rPr>
              <w:t>[…] €</w:t>
            </w:r>
          </w:p>
        </w:tc>
        <w:tc>
          <w:tcPr>
            <w:tcW w:type="dxa" w:w="3005"/>
          </w:tcPr>
          <w:p>
            <w:pPr>
              <w:spacing w:after="20" w:before="0"/>
            </w:pPr>
            <w:r>
              <w:rPr>
                <w:rFonts w:ascii="Calibri" w:hAnsi="Calibri" w:eastAsia="Calibri"/>
                <w:sz w:val="18"/>
                <w:highlight w:val="yellow"/>
              </w:rPr>
              <w:t>[…] €</w:t>
            </w:r>
          </w:p>
        </w:tc>
        <w:tc>
          <w:tcPr>
            <w:tcW w:type="dxa" w:w="2154"/>
          </w:tcPr>
          <w:p>
            <w:pPr>
              <w:spacing w:after="20" w:before="0"/>
            </w:pPr>
            <w:r>
              <w:rPr>
                <w:rFonts w:ascii="Calibri" w:hAnsi="Calibri" w:eastAsia="Calibri"/>
                <w:sz w:val="18"/>
                <w:highlight w:val="yellow"/>
              </w:rPr>
              <w:t>[…] €</w:t>
            </w:r>
          </w:p>
        </w:tc>
      </w:tr>
      <w:tr>
        <w:tc>
          <w:tcPr>
            <w:tcW w:type="dxa" w:w="1814"/>
          </w:tcPr>
          <w:p>
            <w:pPr>
              <w:spacing w:after="20" w:before="0"/>
            </w:pPr>
            <w:r>
              <w:rPr>
                <w:rFonts w:ascii="Calibri" w:hAnsi="Calibri" w:eastAsia="Calibri"/>
                <w:sz w:val="18"/>
                <w:highlight w:val="yellow"/>
              </w:rPr>
              <w:t>[N-3]</w:t>
            </w:r>
          </w:p>
        </w:tc>
        <w:tc>
          <w:tcPr>
            <w:tcW w:type="dxa" w:w="2381"/>
          </w:tcPr>
          <w:p>
            <w:pPr>
              <w:spacing w:after="20" w:before="0"/>
            </w:pPr>
            <w:r>
              <w:rPr>
                <w:rFonts w:ascii="Calibri" w:hAnsi="Calibri" w:eastAsia="Calibri"/>
                <w:sz w:val="18"/>
                <w:highlight w:val="yellow"/>
              </w:rPr>
              <w:t>[…] €</w:t>
            </w:r>
          </w:p>
        </w:tc>
        <w:tc>
          <w:tcPr>
            <w:tcW w:type="dxa" w:w="3005"/>
          </w:tcPr>
          <w:p>
            <w:pPr>
              <w:spacing w:after="20" w:before="0"/>
            </w:pPr>
            <w:r>
              <w:rPr>
                <w:rFonts w:ascii="Calibri" w:hAnsi="Calibri" w:eastAsia="Calibri"/>
                <w:sz w:val="18"/>
                <w:highlight w:val="yellow"/>
              </w:rPr>
              <w:t>[…] €</w:t>
            </w:r>
          </w:p>
        </w:tc>
        <w:tc>
          <w:tcPr>
            <w:tcW w:type="dxa" w:w="2154"/>
          </w:tcPr>
          <w:p>
            <w:pPr>
              <w:spacing w:after="20" w:before="0"/>
            </w:pPr>
            <w:r>
              <w:rPr>
                <w:rFonts w:ascii="Calibri" w:hAnsi="Calibri" w:eastAsia="Calibri"/>
                <w:sz w:val="18"/>
                <w:highlight w:val="yellow"/>
              </w:rPr>
              <w:t>[…] €</w:t>
            </w:r>
          </w:p>
        </w:tc>
      </w:tr>
    </w:tbl>
    <w:p>
      <w:pPr>
        <w:spacing w:after="40"/>
      </w:pPr>
    </w:p>
    <w:p>
      <w:pPr>
        <w:spacing w:after="160" w:before="0"/>
      </w:pPr>
      <w:r>
        <w:rPr>
          <w:rFonts w:ascii="Calibri" w:hAnsi="Calibri" w:eastAsia="Calibri"/>
          <w:sz w:val="19"/>
          <w:highlight w:val="yellow"/>
        </w:rPr>
        <w:t>[Si la société a plusieurs catégories de parts ou d’actions : un tableau par catégorie (CGI, art. 243 bis).]</w:t>
      </w:r>
    </w:p>
    <w:p>
      <w:pPr>
        <w:spacing w:after="120" w:before="0"/>
      </w:pPr>
      <w:r>
        <w:rPr>
          <w:rFonts w:ascii="Calibri" w:hAnsi="Calibri" w:eastAsia="Calibri"/>
          <w:b/>
          <w:sz w:val="22"/>
        </w:rPr>
        <w:t>11. Dépenses et charges non déductibles</w:t>
      </w:r>
    </w:p>
    <w:p>
      <w:pPr>
        <w:spacing w:after="160" w:before="0"/>
        <w:jc w:val="both"/>
      </w:pPr>
      <w:r>
        <w:rPr>
          <w:rFonts w:ascii="Calibri" w:hAnsi="Calibri" w:eastAsia="Calibri"/>
          <w:sz w:val="22"/>
          <w:highlight w:val="yellow"/>
        </w:rPr>
        <w:t>[Le cas échéant :]</w:t>
      </w:r>
      <w:r>
        <w:rPr>
          <w:rFonts w:ascii="Calibri" w:hAnsi="Calibri" w:eastAsia="Calibri"/>
          <w:sz w:val="22"/>
        </w:rPr>
        <w:t xml:space="preserve"> Les comptes de l’exercice font apparaître des dépenses et charges visées à l’article 39, 4 du code général des impôts pour un montant global de </w:t>
      </w:r>
      <w:r>
        <w:rPr>
          <w:rFonts w:ascii="Calibri" w:hAnsi="Calibri" w:eastAsia="Calibri"/>
          <w:sz w:val="22"/>
          <w:highlight w:val="yellow"/>
        </w:rPr>
        <w:t>[montant]</w:t>
      </w:r>
      <w:r>
        <w:rPr>
          <w:rFonts w:ascii="Calibri" w:hAnsi="Calibri" w:eastAsia="Calibri"/>
          <w:sz w:val="22"/>
        </w:rPr>
        <w:t xml:space="preserve"> €, l’impôt supporté en raison de ces dépenses et charges s’élevant à </w:t>
      </w:r>
      <w:r>
        <w:rPr>
          <w:rFonts w:ascii="Calibri" w:hAnsi="Calibri" w:eastAsia="Calibri"/>
          <w:sz w:val="22"/>
          <w:highlight w:val="yellow"/>
        </w:rPr>
        <w:t>[montant]</w:t>
      </w:r>
      <w:r>
        <w:rPr>
          <w:rFonts w:ascii="Calibri" w:hAnsi="Calibri" w:eastAsia="Calibri"/>
          <w:sz w:val="22"/>
        </w:rPr>
        <w:t xml:space="preserve"> €. Nous vous demanderons de les approuver. </w:t>
      </w:r>
      <w:r>
        <w:rPr>
          <w:rFonts w:ascii="Calibri" w:hAnsi="Calibri" w:eastAsia="Calibri"/>
          <w:sz w:val="22"/>
          <w:highlight w:val="yellow"/>
        </w:rPr>
        <w:t>[Sinon : néant.]</w:t>
      </w:r>
    </w:p>
    <w:p>
      <w:pPr>
        <w:spacing w:after="120" w:before="0"/>
      </w:pPr>
      <w:r>
        <w:rPr>
          <w:rFonts w:ascii="Calibri" w:hAnsi="Calibri" w:eastAsia="Calibri"/>
          <w:b/>
          <w:sz w:val="22"/>
        </w:rPr>
        <w:t>12. Conventions réglementées</w:t>
      </w:r>
    </w:p>
    <w:p>
      <w:pPr>
        <w:spacing w:after="160" w:before="0"/>
        <w:jc w:val="both"/>
      </w:pPr>
      <w:r>
        <w:rPr>
          <w:rFonts w:ascii="Calibri" w:hAnsi="Calibri" w:eastAsia="Calibri"/>
          <w:sz w:val="22"/>
        </w:rPr>
        <w:t xml:space="preserve">Le rapport sur les conventions visées à l’article </w:t>
      </w:r>
      <w:r>
        <w:rPr>
          <w:rFonts w:ascii="Calibri" w:hAnsi="Calibri" w:eastAsia="Calibri"/>
          <w:sz w:val="22"/>
          <w:highlight w:val="yellow"/>
        </w:rPr>
        <w:t>[L. 223-19 (SARL) / L. 227-10 (SAS)]</w:t>
      </w:r>
      <w:r>
        <w:rPr>
          <w:rFonts w:ascii="Calibri" w:hAnsi="Calibri" w:eastAsia="Calibri"/>
          <w:sz w:val="22"/>
        </w:rPr>
        <w:t xml:space="preserve"> du code de commerce vous est présenté séparément. </w:t>
      </w:r>
      <w:r>
        <w:rPr>
          <w:rFonts w:ascii="Calibri" w:hAnsi="Calibri" w:eastAsia="Calibri"/>
          <w:sz w:val="22"/>
          <w:highlight w:val="yellow"/>
        </w:rPr>
        <w:t>[EURL ou SASU : les conventions sont mentionnées au registre des décisions.]</w:t>
      </w:r>
    </w:p>
    <w:p>
      <w:pPr>
        <w:spacing w:after="120" w:before="0"/>
      </w:pPr>
      <w:r>
        <w:rPr>
          <w:rFonts w:ascii="Calibri" w:hAnsi="Calibri" w:eastAsia="Calibri"/>
          <w:b/>
          <w:sz w:val="22"/>
        </w:rPr>
        <w:t xml:space="preserve">13. </w:t>
      </w:r>
      <w:r>
        <w:rPr>
          <w:rFonts w:ascii="Calibri" w:hAnsi="Calibri" w:eastAsia="Calibri"/>
          <w:b/>
          <w:sz w:val="22"/>
          <w:highlight w:val="yellow"/>
        </w:rPr>
        <w:t>[Capitaux propres inférieurs à la moitié du capital social]</w:t>
      </w:r>
    </w:p>
    <w:p>
      <w:pPr>
        <w:spacing w:after="240" w:before="0"/>
        <w:jc w:val="both"/>
      </w:pPr>
      <w:r>
        <w:rPr>
          <w:rFonts w:ascii="Calibri" w:hAnsi="Calibri" w:eastAsia="Calibri"/>
          <w:sz w:val="22"/>
          <w:highlight w:val="yellow"/>
        </w:rPr>
        <w:t>[Le cas échéant : du fait des pertes constatées, les capitaux propres s’élèvent à … €, soit moins de la moitié du capital social. Les associés seront consultés, dans les quatre mois qui suivent l’approbation des comptes, sur l’opportunité d’une dissolution anticipée de la société (C. com., art. L. 223-42 pour la SARL ; art. L. 225-248 pour la SAS).]</w:t>
      </w:r>
    </w:p>
    <w:p>
      <w:pPr>
        <w:spacing w:after="240" w:before="0"/>
        <w:jc w:val="both"/>
      </w:pPr>
      <w:r>
        <w:rPr>
          <w:rFonts w:ascii="Calibri" w:hAnsi="Calibri" w:eastAsia="Calibri"/>
          <w:sz w:val="22"/>
        </w:rPr>
        <w:t>Nous vous invitons à approuver les comptes de l’exercice tels qu’ils vous sont présentés et à adopter les résolutions qui vous sont soumises.</w:t>
      </w:r>
    </w:p>
    <w:p>
      <w:pPr>
        <w:spacing w:after="200" w:before="0"/>
        <w:jc w:val="both"/>
      </w:pPr>
      <w:r>
        <w:rPr>
          <w:rFonts w:ascii="Calibri" w:hAnsi="Calibri" w:eastAsia="Calibri"/>
          <w:sz w:val="22"/>
        </w:rPr>
        <w:t xml:space="preserve">Fait à </w:t>
      </w:r>
      <w:r>
        <w:rPr>
          <w:rFonts w:ascii="Calibri" w:hAnsi="Calibri" w:eastAsia="Calibri"/>
          <w:sz w:val="22"/>
          <w:highlight w:val="yellow"/>
        </w:rPr>
        <w:t>[lieu]</w:t>
      </w:r>
      <w:r>
        <w:rPr>
          <w:rFonts w:ascii="Calibri" w:hAnsi="Calibri" w:eastAsia="Calibri"/>
          <w:sz w:val="22"/>
        </w:rPr>
        <w:t xml:space="preserve">, le </w:t>
      </w:r>
      <w:r>
        <w:rPr>
          <w:rFonts w:ascii="Calibri" w:hAnsi="Calibri" w:eastAsia="Calibri"/>
          <w:sz w:val="22"/>
          <w:highlight w:val="yellow"/>
        </w:rPr>
        <w:t>[date]</w:t>
      </w:r>
    </w:p>
    <w:p>
      <w:pPr>
        <w:spacing w:after="40" w:before="0"/>
        <w:ind w:left="5102"/>
      </w:pPr>
      <w:r>
        <w:rPr>
          <w:rFonts w:ascii="Calibri" w:hAnsi="Calibri" w:eastAsia="Calibri"/>
          <w:b/>
          <w:sz w:val="22"/>
          <w:highlight w:val="yellow"/>
        </w:rPr>
        <w:t>[Le gérant / Le Président]</w:t>
      </w:r>
    </w:p>
    <w:p>
      <w:pPr>
        <w:spacing w:after="200" w:before="0"/>
        <w:ind w:left="5102"/>
      </w:pPr>
      <w:r>
        <w:rPr>
          <w:rFonts w:ascii="Calibri" w:hAnsi="Calibri" w:eastAsia="Calibri"/>
          <w:sz w:val="22"/>
          <w:highlight w:val="yellow"/>
        </w:rPr>
        <w:t>[Prénom NOM — signature]</w:t>
      </w:r>
    </w:p>
    <w:p>
      <w:r>
        <w:br w:type="page"/>
      </w:r>
    </w:p>
    <w:p>
      <w:pPr>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Qui établit le rapport : à la clôture de chaque exercice, les gérants (SARL, EURL) dressent l’inventaire et les comptes annuels et établissent un rapport de gestion écrit (C. com., art. L. 232-1, I). Dans la SAS, ces attributions sont exercées par le Président ou par le dirigeant que les statuts désignent (art. L. 227-1 et, pour la SASU, art. L. 227-9).</w:t>
      </w:r>
    </w:p>
    <w:p>
      <w:pPr>
        <w:spacing w:after="100" w:before="0"/>
        <w:jc w:val="both"/>
      </w:pPr>
      <w:r>
        <w:rPr>
          <w:rFonts w:ascii="Calibri" w:hAnsi="Calibri" w:eastAsia="Calibri"/>
          <w:color w:val="374151"/>
          <w:sz w:val="20"/>
        </w:rPr>
        <w:t>• Dispense : les sociétés commerciales qui sont des microentreprises ou des petites entreprises au sens de l’article L. 230-1 sont dispensées d’établir un rapport de gestion, sauf sociétés relevant des catégories de l’article L. 123-16-2 et sociétés dont l’activité consiste à gérer des titres de participations ou des valeurs mobilières (art. L. 232-1, IV). Relève de ces catégories la société qui, à la clôture, ne dépasse pas au moins deux des trois seuils suivants : 7 500 000 € de total du bilan, 15 000 000 € de chiffre d’affaires net, 50 salariés en moyenne ; les seuils sont réputés franchis à la clôture de deux exercices consécutifs (art. D. 230-1). La dispense du IV est maintenue dans la rédaction de l’article L. 232-1 applicable au 1er janvier 2027 ; à compter de cette date, le rapport, lorsqu’il est établi, comporte en outre la rubrique sur le mécénat du II, 5° bis (loi n° 2026-403 du 26 mai 2026, art. 6) : voir la rubrique 5 bis.</w:t>
      </w:r>
    </w:p>
    <w:p>
      <w:pPr>
        <w:spacing w:after="100" w:before="0"/>
        <w:jc w:val="both"/>
      </w:pPr>
      <w:r>
        <w:rPr>
          <w:rFonts w:ascii="Calibri" w:hAnsi="Calibri" w:eastAsia="Calibri"/>
          <w:color w:val="374151"/>
          <w:sz w:val="20"/>
        </w:rPr>
        <w:t>• Une société dispensée peut néanmoins établir un rapport simplifié pour informer ses associés : ce modèle s’y prête. Les textes sur l’approbation des comptes de SARL mentionnent toujours le rapport de gestion (art. L. 223-26 et R. 223-18) ; si vous n’en établissez pas, adaptez la convocation et le procès-verbal.</w:t>
      </w:r>
    </w:p>
    <w:p>
      <w:pPr>
        <w:spacing w:after="100" w:before="0"/>
        <w:jc w:val="both"/>
      </w:pPr>
      <w:r>
        <w:rPr>
          <w:rFonts w:ascii="Calibri" w:hAnsi="Calibri" w:eastAsia="Calibri"/>
          <w:color w:val="374151"/>
          <w:sz w:val="20"/>
        </w:rPr>
        <w:t>• Contenu légal (art. L. 232-1, II) : situation de la société durant l’exercice, avec une analyse objective et exhaustive de l’évolution des affaires, des résultats et de la situation, notamment d’endettement ; évolution prévisible ; événements importants survenus depuis la clôture ; recherche et développement ; succursales ; indicateurs clés de performance dans la mesure nécessaire ; principaux risques et incertitudes ; le cas échéant, instruments financiers et exposition aux risques ; à compter du 1er janvier 2027, principales mesures mises en œuvre en matière de mécénat (II, 5° bis). Les informations sur les ressources incorporelles ne concernent que les grandes entreprises.</w:t>
      </w:r>
    </w:p>
    <w:p>
      <w:pPr>
        <w:spacing w:after="100" w:before="0"/>
        <w:jc w:val="both"/>
      </w:pPr>
      <w:r>
        <w:rPr>
          <w:rFonts w:ascii="Calibri" w:hAnsi="Calibri" w:eastAsia="Calibri"/>
          <w:color w:val="374151"/>
          <w:sz w:val="20"/>
        </w:rPr>
        <w:t>• Autres mentions : prises de participation de plus du vingtième, du dixième, du cinquième, du tiers ou de la moitié du capital d’une société ayant son siège en France, ou prise de contrôle, et activité des filiales (art. L. 233-6) ; délais de paiement, uniquement pour les sociétés dont les comptes sont certifiés par un commissaire aux comptes (art. L. 441-14 et D. 441-6) ; montant des prêts interentreprises consentis par une société commerciale dont les comptes sont certifiés ou qui a désigné volontairement un commissaire aux comptes, avec attestation de celui-ci (C. mon. fin., art. L. 511-6, 3 bis) ; dividendes des trois exercices précédents (CGI, art. 243 bis) ; dépenses visées à l’article 39, 4 du CGI (CGI, art. 223 quater).</w:t>
      </w:r>
    </w:p>
    <w:p>
      <w:pPr>
        <w:spacing w:after="100" w:before="0"/>
        <w:jc w:val="both"/>
      </w:pPr>
      <w:r>
        <w:rPr>
          <w:rFonts w:ascii="Calibri" w:hAnsi="Calibri" w:eastAsia="Calibri"/>
          <w:color w:val="374151"/>
          <w:sz w:val="20"/>
        </w:rPr>
        <w:t>• SARL : le rapport est adressé aux associés quinze jours au moins avant l’assemblée annuelle, avec les comptes et le texte des résolutions (art. R. 223-18). EURL dont l’associé unique n’est pas le seul gérant : le rapport lui est adressé un mois au moins avant l’expiration du délai de six mois (art. R. 223-25).</w:t>
      </w:r>
    </w:p>
    <w:p>
      <w:pPr>
        <w:spacing w:after="100" w:before="0"/>
        <w:jc w:val="both"/>
      </w:pPr>
      <w:r>
        <w:rPr>
          <w:rFonts w:ascii="Calibri" w:hAnsi="Calibri" w:eastAsia="Calibri"/>
          <w:color w:val="374151"/>
          <w:sz w:val="20"/>
        </w:rPr>
        <w:t>• Faites établir les chiffres par votre comptable et relisez la cohérence entre le rapport, les comptes annuels et les résolutions proposées.</w:t>
      </w:r>
    </w:p>
    <w:p>
      <w:pPr>
        <w:spacing w:after="100" w:before="0"/>
        <w:jc w:val="both"/>
      </w:pPr>
      <w:r>
        <w:rPr>
          <w:rFonts w:ascii="Calibri" w:hAnsi="Calibri" w:eastAsia="Calibri"/>
          <w:color w:val="374151"/>
          <w:sz w:val="20"/>
        </w:rPr>
        <w:t>• Supprimez l’en-tête « Modèle fourni à titre informatif… », les surlignages, les options inutiles et la présente page avant signature. Conservez l’original signé dans les registres de la société.</w:t>
      </w:r>
    </w:p>
    <w:p>
      <w:pPr>
        <w:spacing w:after="100" w:before="0"/>
        <w:jc w:val="both"/>
      </w:pPr>
      <w:r>
        <w:rPr>
          <w:rFonts w:ascii="Calibri" w:hAnsi="Calibri" w:eastAsia="Calibri"/>
          <w:color w:val="374151"/>
          <w:sz w:val="20"/>
        </w:rPr>
        <w:t>• Ce modèle est une base de travail : faites relire le document par un avocat avant signature, en particulier en cas de désaccord entre associés, d’opération inhabituelle ou de doute sur une clause des statuts.</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de gestion simplifié (gérant ou président)</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