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rPr>
        <w:t>Société à responsabilité limitée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 complète]</w:t>
      </w:r>
    </w:p>
    <w:p>
      <w:pPr>
        <w:spacing w:after="280" w:before="0"/>
        <w:jc w:val="center"/>
      </w:pPr>
      <w:r>
        <w:rPr>
          <w:rFonts w:ascii="Calibri" w:hAnsi="Calibri" w:eastAsia="Calibri"/>
          <w:sz w:val="22"/>
          <w:highlight w:val="yellow"/>
        </w:rPr>
        <w:t>[RCS Ville]</w:t>
      </w:r>
      <w:r>
        <w:rPr>
          <w:rFonts w:ascii="Calibri" w:hAnsi="Calibri" w:eastAsia="Calibri"/>
          <w:sz w:val="22"/>
        </w:rPr>
        <w:t xml:space="preserve"> n° </w:t>
      </w:r>
      <w:r>
        <w:rPr>
          <w:rFonts w:ascii="Calibri" w:hAnsi="Calibri" w:eastAsia="Calibri"/>
          <w:sz w:val="22"/>
          <w:highlight w:val="yellow"/>
        </w:rPr>
        <w:t>[SIREN]</w:t>
      </w:r>
    </w:p>
    <w:p>
      <w:pPr>
        <w:spacing w:after="40" w:before="0"/>
        <w:jc w:val="center"/>
      </w:pPr>
      <w:r>
        <w:rPr>
          <w:rFonts w:ascii="Calibri" w:hAnsi="Calibri" w:eastAsia="Calibri"/>
          <w:b/>
          <w:sz w:val="24"/>
        </w:rPr>
        <w:t>RAPPORT DE LA GÉRANCE SUR LES CONVENTIONS</w:t>
      </w:r>
    </w:p>
    <w:p>
      <w:pPr>
        <w:spacing w:after="40" w:before="0"/>
        <w:jc w:val="center"/>
      </w:pPr>
      <w:r>
        <w:rPr>
          <w:rFonts w:ascii="Calibri" w:hAnsi="Calibri" w:eastAsia="Calibri"/>
          <w:b/>
          <w:sz w:val="22"/>
        </w:rPr>
        <w:t>visées à l’article L. 223-19 du code de commerce</w:t>
      </w:r>
    </w:p>
    <w:p>
      <w:pPr>
        <w:spacing w:after="120" w:before="0"/>
        <w:jc w:val="center"/>
      </w:pPr>
      <w:r>
        <w:rPr>
          <w:rFonts w:ascii="Calibri" w:hAnsi="Calibri" w:eastAsia="Calibri"/>
          <w:sz w:val="22"/>
        </w:rPr>
        <w:t xml:space="preserve">Exercice clos le </w:t>
      </w:r>
      <w:r>
        <w:rPr>
          <w:rFonts w:ascii="Calibri" w:hAnsi="Calibri" w:eastAsia="Calibri"/>
          <w:sz w:val="22"/>
          <w:highlight w:val="yellow"/>
        </w:rPr>
        <w:t>[date]</w:t>
      </w:r>
      <w:r>
        <w:rPr>
          <w:rFonts w:ascii="Calibri" w:hAnsi="Calibri" w:eastAsia="Calibri"/>
          <w:sz w:val="22"/>
        </w:rPr>
        <w:t xml:space="preserve"> — assemblée générale ordinaire du </w:t>
      </w:r>
      <w:r>
        <w:rPr>
          <w:rFonts w:ascii="Calibri" w:hAnsi="Calibri" w:eastAsia="Calibri"/>
          <w:sz w:val="22"/>
          <w:highlight w:val="yellow"/>
        </w:rPr>
        <w:t>[date]</w:t>
      </w:r>
    </w:p>
    <w:p>
      <w:pPr>
        <w:spacing w:after="320" w:before="0"/>
        <w:jc w:val="center"/>
      </w:pPr>
      <w:r>
        <w:rPr>
          <w:rFonts w:ascii="Calibri" w:hAnsi="Calibri" w:eastAsia="Calibri"/>
          <w:sz w:val="19"/>
          <w:highlight w:val="yellow"/>
        </w:rPr>
        <w:t>[À utiliser lorsque la société n’a pas de commissaire aux comptes. S’il en existe un, c’est lui qui présente le rapport (C. com., art. L. 223-19, al. 1) ; la gérance lui adresse seulement l’avis prévu à l’article R. 223-16.]</w:t>
      </w:r>
    </w:p>
    <w:p>
      <w:pPr>
        <w:spacing w:after="160" w:before="0"/>
      </w:pPr>
      <w:r>
        <w:rPr>
          <w:rFonts w:ascii="Calibri" w:hAnsi="Calibri" w:eastAsia="Calibri"/>
          <w:sz w:val="22"/>
        </w:rPr>
        <w:t>Mesdames, Messieurs les associés,</w:t>
      </w:r>
    </w:p>
    <w:p>
      <w:pPr>
        <w:spacing w:after="160" w:before="0"/>
        <w:jc w:val="both"/>
      </w:pPr>
      <w:r>
        <w:rPr>
          <w:rFonts w:ascii="Calibri" w:hAnsi="Calibri" w:eastAsia="Calibri"/>
          <w:sz w:val="22"/>
        </w:rPr>
        <w:t xml:space="preserve">En application de l’article L. 223-19 du code de commerce, nous vous présentons notre rapport sur les conventions intervenues, directement ou par personne interposée, entre la société et l’un de ses gérants ou associés, </w:t>
      </w:r>
      <w:r>
        <w:rPr>
          <w:rFonts w:ascii="Calibri" w:hAnsi="Calibri" w:eastAsia="Calibri"/>
          <w:sz w:val="22"/>
          <w:highlight w:val="yellow"/>
        </w:rPr>
        <w:t>[ainsi qu’avec une société dont un associé indéfiniment responsable, gérant, administrateur, directeur général, membre du directoire ou du conseil de surveillance est simultanément gérant ou associé de notre société]</w:t>
      </w:r>
      <w:r>
        <w:rPr>
          <w:rFonts w:ascii="Calibri" w:hAnsi="Calibri" w:eastAsia="Calibri"/>
          <w:sz w:val="22"/>
        </w:rPr>
        <w:t>.</w:t>
      </w:r>
    </w:p>
    <w:p>
      <w:pPr>
        <w:spacing w:after="240" w:before="0"/>
        <w:jc w:val="both"/>
      </w:pPr>
      <w:r>
        <w:rPr>
          <w:rFonts w:ascii="Calibri" w:hAnsi="Calibri" w:eastAsia="Calibri"/>
          <w:sz w:val="22"/>
        </w:rPr>
        <w:t>La société n’ayant pas désigné de commissaire aux comptes, ce rapport est établi par la gérance.</w:t>
      </w:r>
    </w:p>
    <w:p>
      <w:pPr>
        <w:spacing w:after="120" w:before="0"/>
      </w:pPr>
      <w:r>
        <w:rPr>
          <w:rFonts w:ascii="Calibri" w:hAnsi="Calibri" w:eastAsia="Calibri"/>
          <w:b/>
          <w:sz w:val="22"/>
        </w:rPr>
        <w:t>1. Conventions conclues au cours de l’exercice et soumises à votre approbation</w:t>
      </w:r>
    </w:p>
    <w:p>
      <w:pPr>
        <w:spacing w:after="80" w:before="0"/>
      </w:pPr>
      <w:r>
        <w:rPr>
          <w:rFonts w:ascii="Calibri" w:hAnsi="Calibri" w:eastAsia="Calibri"/>
          <w:b/>
          <w:sz w:val="22"/>
        </w:rPr>
        <w:t>Convention n° 1</w:t>
      </w:r>
    </w:p>
    <w:tbl>
      <w:tblPr>
        <w:tblStyle w:val="TableGrid"/>
        <w:tblW w:type="auto" w:w="0"/>
        <w:jc w:val="center"/>
        <w:tblLayout w:type="fixed"/>
        <w:tblLook w:firstColumn="1" w:firstRow="1" w:lastColumn="0" w:lastRow="0" w:noHBand="0" w:noVBand="1" w:val="04A0"/>
      </w:tblPr>
      <w:tblGrid>
        <w:gridCol w:w="2948"/>
        <w:gridCol w:w="6406"/>
      </w:tblGrid>
      <w:tr>
        <w:tc>
          <w:tcPr>
            <w:tcW w:type="dxa" w:w="2948"/>
            <w:shd w:val="clear" w:color="auto" w:fill="F5F6F8"/>
          </w:tcPr>
          <w:p>
            <w:pPr>
              <w:spacing w:after="20" w:before="0"/>
            </w:pPr>
            <w:r>
              <w:rPr>
                <w:rFonts w:ascii="Calibri" w:hAnsi="Calibri" w:eastAsia="Calibri"/>
                <w:b/>
                <w:sz w:val="19"/>
              </w:rPr>
              <w:t>Intitulé et date</w:t>
            </w:r>
          </w:p>
        </w:tc>
        <w:tc>
          <w:tcPr>
            <w:tcW w:type="dxa" w:w="6406"/>
          </w:tcPr>
          <w:p>
            <w:pPr>
              <w:spacing w:after="20" w:before="0"/>
            </w:pPr>
            <w:r>
              <w:rPr>
                <w:rFonts w:ascii="Calibri" w:hAnsi="Calibri" w:eastAsia="Calibri"/>
                <w:sz w:val="19"/>
                <w:highlight w:val="yellow"/>
              </w:rPr>
              <w:t>[ex. : bail des locaux du siège / avance en compte courant / contrat de prestation — conclu(e) le …]</w:t>
            </w:r>
          </w:p>
        </w:tc>
      </w:tr>
      <w:tr>
        <w:tc>
          <w:tcPr>
            <w:tcW w:type="dxa" w:w="2948"/>
            <w:shd w:val="clear" w:color="auto" w:fill="F5F6F8"/>
          </w:tcPr>
          <w:p>
            <w:pPr>
              <w:spacing w:after="20" w:before="0"/>
            </w:pPr>
            <w:r>
              <w:rPr>
                <w:rFonts w:ascii="Calibri" w:hAnsi="Calibri" w:eastAsia="Calibri"/>
                <w:b/>
                <w:sz w:val="19"/>
              </w:rPr>
              <w:t>Personne intéressée</w:t>
            </w:r>
          </w:p>
        </w:tc>
        <w:tc>
          <w:tcPr>
            <w:tcW w:type="dxa" w:w="6406"/>
          </w:tcPr>
          <w:p>
            <w:pPr>
              <w:spacing w:after="20" w:before="0"/>
            </w:pPr>
            <w:r>
              <w:rPr>
                <w:rFonts w:ascii="Calibri" w:hAnsi="Calibri" w:eastAsia="Calibri"/>
                <w:sz w:val="19"/>
                <w:highlight w:val="yellow"/>
              </w:rPr>
              <w:t>[Prénom NOM — gérant(e) / associé(e) détenant … parts — ou société … dont M./Mme … est …]</w:t>
            </w:r>
          </w:p>
        </w:tc>
      </w:tr>
      <w:tr>
        <w:tc>
          <w:tcPr>
            <w:tcW w:type="dxa" w:w="2948"/>
            <w:shd w:val="clear" w:color="auto" w:fill="F5F6F8"/>
          </w:tcPr>
          <w:p>
            <w:pPr>
              <w:spacing w:after="20" w:before="0"/>
            </w:pPr>
            <w:r>
              <w:rPr>
                <w:rFonts w:ascii="Calibri" w:hAnsi="Calibri" w:eastAsia="Calibri"/>
                <w:b/>
                <w:sz w:val="19"/>
              </w:rPr>
              <w:t>Nature et objet</w:t>
            </w:r>
          </w:p>
        </w:tc>
        <w:tc>
          <w:tcPr>
            <w:tcW w:type="dxa" w:w="6406"/>
          </w:tcPr>
          <w:p>
            <w:pPr>
              <w:spacing w:after="20" w:before="0"/>
            </w:pPr>
            <w:r>
              <w:rPr>
                <w:rFonts w:ascii="Calibri" w:hAnsi="Calibri" w:eastAsia="Calibri"/>
                <w:sz w:val="19"/>
                <w:highlight w:val="yellow"/>
              </w:rPr>
              <w:t>[…]</w:t>
            </w:r>
          </w:p>
        </w:tc>
      </w:tr>
      <w:tr>
        <w:tc>
          <w:tcPr>
            <w:tcW w:type="dxa" w:w="2948"/>
            <w:shd w:val="clear" w:color="auto" w:fill="F5F6F8"/>
          </w:tcPr>
          <w:p>
            <w:pPr>
              <w:spacing w:after="20" w:before="0"/>
            </w:pPr>
            <w:r>
              <w:rPr>
                <w:rFonts w:ascii="Calibri" w:hAnsi="Calibri" w:eastAsia="Calibri"/>
                <w:b/>
                <w:sz w:val="19"/>
              </w:rPr>
              <w:t>Modalités essentielles</w:t>
            </w:r>
          </w:p>
        </w:tc>
        <w:tc>
          <w:tcPr>
            <w:tcW w:type="dxa" w:w="6406"/>
          </w:tcPr>
          <w:p>
            <w:pPr>
              <w:spacing w:after="20" w:before="0"/>
            </w:pPr>
            <w:r>
              <w:rPr>
                <w:rFonts w:ascii="Calibri" w:hAnsi="Calibri" w:eastAsia="Calibri"/>
                <w:sz w:val="19"/>
                <w:highlight w:val="yellow"/>
              </w:rPr>
              <w:t>[prix ou tarifs pratiqués, ristournes et commissions consenties, délais de paiement accordés, intérêts stipulés, sûretés conférées]</w:t>
            </w:r>
          </w:p>
        </w:tc>
      </w:tr>
      <w:tr>
        <w:tc>
          <w:tcPr>
            <w:tcW w:type="dxa" w:w="2948"/>
            <w:shd w:val="clear" w:color="auto" w:fill="F5F6F8"/>
          </w:tcPr>
          <w:p>
            <w:pPr>
              <w:spacing w:after="20" w:before="0"/>
            </w:pPr>
            <w:r>
              <w:rPr>
                <w:rFonts w:ascii="Calibri" w:hAnsi="Calibri" w:eastAsia="Calibri"/>
                <w:b/>
                <w:sz w:val="19"/>
              </w:rPr>
              <w:t>Intérêt pour la société</w:t>
            </w:r>
          </w:p>
        </w:tc>
        <w:tc>
          <w:tcPr>
            <w:tcW w:type="dxa" w:w="6406"/>
          </w:tcPr>
          <w:p>
            <w:pPr>
              <w:spacing w:after="20" w:before="0"/>
            </w:pPr>
            <w:r>
              <w:rPr>
                <w:rFonts w:ascii="Calibri" w:hAnsi="Calibri" w:eastAsia="Calibri"/>
                <w:sz w:val="19"/>
                <w:highlight w:val="yellow"/>
              </w:rPr>
              <w:t>[toutes indications permettant d’apprécier l’intérêt qui s’attachait à la conclusion de la convention]</w:t>
            </w:r>
          </w:p>
        </w:tc>
      </w:tr>
      <w:tr>
        <w:tc>
          <w:tcPr>
            <w:tcW w:type="dxa" w:w="2948"/>
            <w:shd w:val="clear" w:color="auto" w:fill="F5F6F8"/>
          </w:tcPr>
          <w:p>
            <w:pPr>
              <w:spacing w:after="20" w:before="0"/>
            </w:pPr>
            <w:r>
              <w:rPr>
                <w:rFonts w:ascii="Calibri" w:hAnsi="Calibri" w:eastAsia="Calibri"/>
                <w:b/>
                <w:sz w:val="19"/>
              </w:rPr>
              <w:t>Montants de l’exercice</w:t>
            </w:r>
          </w:p>
        </w:tc>
        <w:tc>
          <w:tcPr>
            <w:tcW w:type="dxa" w:w="6406"/>
          </w:tcPr>
          <w:p>
            <w:pPr>
              <w:spacing w:after="20" w:before="0"/>
            </w:pPr>
            <w:r>
              <w:rPr>
                <w:rFonts w:ascii="Calibri" w:hAnsi="Calibri" w:eastAsia="Calibri"/>
                <w:sz w:val="19"/>
                <w:highlight w:val="yellow"/>
              </w:rPr>
              <w:t>[fournitures livrées, prestations fournies, sommes versées ou reçues : … €]</w:t>
            </w:r>
          </w:p>
        </w:tc>
      </w:tr>
    </w:tbl>
    <w:p>
      <w:pPr>
        <w:spacing w:after="120"/>
      </w:pPr>
    </w:p>
    <w:p>
      <w:pPr>
        <w:spacing w:after="80" w:before="0"/>
      </w:pPr>
      <w:r>
        <w:rPr>
          <w:rFonts w:ascii="Calibri" w:hAnsi="Calibri" w:eastAsia="Calibri"/>
          <w:b/>
          <w:sz w:val="22"/>
        </w:rPr>
        <w:t>Convention n° 2</w:t>
      </w:r>
    </w:p>
    <w:tbl>
      <w:tblPr>
        <w:tblStyle w:val="TableGrid"/>
        <w:tblW w:type="auto" w:w="0"/>
        <w:jc w:val="center"/>
        <w:tblLayout w:type="fixed"/>
        <w:tblLook w:firstColumn="1" w:firstRow="1" w:lastColumn="0" w:lastRow="0" w:noHBand="0" w:noVBand="1" w:val="04A0"/>
      </w:tblPr>
      <w:tblGrid>
        <w:gridCol w:w="2948"/>
        <w:gridCol w:w="6406"/>
      </w:tblGrid>
      <w:tr>
        <w:tc>
          <w:tcPr>
            <w:tcW w:type="dxa" w:w="2948"/>
            <w:shd w:val="clear" w:color="auto" w:fill="F5F6F8"/>
          </w:tcPr>
          <w:p>
            <w:pPr>
              <w:spacing w:after="20" w:before="0"/>
            </w:pPr>
            <w:r>
              <w:rPr>
                <w:rFonts w:ascii="Calibri" w:hAnsi="Calibri" w:eastAsia="Calibri"/>
                <w:b/>
                <w:sz w:val="19"/>
              </w:rPr>
              <w:t>Intitulé et date</w:t>
            </w:r>
          </w:p>
        </w:tc>
        <w:tc>
          <w:tcPr>
            <w:tcW w:type="dxa" w:w="6406"/>
          </w:tcPr>
          <w:p>
            <w:pPr>
              <w:spacing w:after="20" w:before="0"/>
            </w:pPr>
            <w:r>
              <w:rPr>
                <w:rFonts w:ascii="Calibri" w:hAnsi="Calibri" w:eastAsia="Calibri"/>
                <w:sz w:val="19"/>
                <w:highlight w:val="yellow"/>
              </w:rPr>
              <w:t>[ex. : bail des locaux du siège / avance en compte courant / contrat de prestation — conclu(e) le …]</w:t>
            </w:r>
          </w:p>
        </w:tc>
      </w:tr>
      <w:tr>
        <w:tc>
          <w:tcPr>
            <w:tcW w:type="dxa" w:w="2948"/>
            <w:shd w:val="clear" w:color="auto" w:fill="F5F6F8"/>
          </w:tcPr>
          <w:p>
            <w:pPr>
              <w:spacing w:after="20" w:before="0"/>
            </w:pPr>
            <w:r>
              <w:rPr>
                <w:rFonts w:ascii="Calibri" w:hAnsi="Calibri" w:eastAsia="Calibri"/>
                <w:b/>
                <w:sz w:val="19"/>
              </w:rPr>
              <w:t>Personne intéressée</w:t>
            </w:r>
          </w:p>
        </w:tc>
        <w:tc>
          <w:tcPr>
            <w:tcW w:type="dxa" w:w="6406"/>
          </w:tcPr>
          <w:p>
            <w:pPr>
              <w:spacing w:after="20" w:before="0"/>
            </w:pPr>
            <w:r>
              <w:rPr>
                <w:rFonts w:ascii="Calibri" w:hAnsi="Calibri" w:eastAsia="Calibri"/>
                <w:sz w:val="19"/>
                <w:highlight w:val="yellow"/>
              </w:rPr>
              <w:t>[Prénom NOM — gérant(e) / associé(e) détenant … parts — ou société … dont M./Mme … est …]</w:t>
            </w:r>
          </w:p>
        </w:tc>
      </w:tr>
      <w:tr>
        <w:tc>
          <w:tcPr>
            <w:tcW w:type="dxa" w:w="2948"/>
            <w:shd w:val="clear" w:color="auto" w:fill="F5F6F8"/>
          </w:tcPr>
          <w:p>
            <w:pPr>
              <w:spacing w:after="20" w:before="0"/>
            </w:pPr>
            <w:r>
              <w:rPr>
                <w:rFonts w:ascii="Calibri" w:hAnsi="Calibri" w:eastAsia="Calibri"/>
                <w:b/>
                <w:sz w:val="19"/>
              </w:rPr>
              <w:t>Nature et objet</w:t>
            </w:r>
          </w:p>
        </w:tc>
        <w:tc>
          <w:tcPr>
            <w:tcW w:type="dxa" w:w="6406"/>
          </w:tcPr>
          <w:p>
            <w:pPr>
              <w:spacing w:after="20" w:before="0"/>
            </w:pPr>
            <w:r>
              <w:rPr>
                <w:rFonts w:ascii="Calibri" w:hAnsi="Calibri" w:eastAsia="Calibri"/>
                <w:sz w:val="19"/>
                <w:highlight w:val="yellow"/>
              </w:rPr>
              <w:t>[…]</w:t>
            </w:r>
          </w:p>
        </w:tc>
      </w:tr>
      <w:tr>
        <w:tc>
          <w:tcPr>
            <w:tcW w:type="dxa" w:w="2948"/>
            <w:shd w:val="clear" w:color="auto" w:fill="F5F6F8"/>
          </w:tcPr>
          <w:p>
            <w:pPr>
              <w:spacing w:after="20" w:before="0"/>
            </w:pPr>
            <w:r>
              <w:rPr>
                <w:rFonts w:ascii="Calibri" w:hAnsi="Calibri" w:eastAsia="Calibri"/>
                <w:b/>
                <w:sz w:val="19"/>
              </w:rPr>
              <w:t>Modalités essentielles</w:t>
            </w:r>
          </w:p>
        </w:tc>
        <w:tc>
          <w:tcPr>
            <w:tcW w:type="dxa" w:w="6406"/>
          </w:tcPr>
          <w:p>
            <w:pPr>
              <w:spacing w:after="20" w:before="0"/>
            </w:pPr>
            <w:r>
              <w:rPr>
                <w:rFonts w:ascii="Calibri" w:hAnsi="Calibri" w:eastAsia="Calibri"/>
                <w:sz w:val="19"/>
                <w:highlight w:val="yellow"/>
              </w:rPr>
              <w:t>[prix ou tarifs pratiqués, ristournes et commissions consenties, délais de paiement accordés, intérêts stipulés, sûretés conférées]</w:t>
            </w:r>
          </w:p>
        </w:tc>
      </w:tr>
      <w:tr>
        <w:tc>
          <w:tcPr>
            <w:tcW w:type="dxa" w:w="2948"/>
            <w:shd w:val="clear" w:color="auto" w:fill="F5F6F8"/>
          </w:tcPr>
          <w:p>
            <w:pPr>
              <w:spacing w:after="20" w:before="0"/>
            </w:pPr>
            <w:r>
              <w:rPr>
                <w:rFonts w:ascii="Calibri" w:hAnsi="Calibri" w:eastAsia="Calibri"/>
                <w:b/>
                <w:sz w:val="19"/>
              </w:rPr>
              <w:t>Intérêt pour la société</w:t>
            </w:r>
          </w:p>
        </w:tc>
        <w:tc>
          <w:tcPr>
            <w:tcW w:type="dxa" w:w="6406"/>
          </w:tcPr>
          <w:p>
            <w:pPr>
              <w:spacing w:after="20" w:before="0"/>
            </w:pPr>
            <w:r>
              <w:rPr>
                <w:rFonts w:ascii="Calibri" w:hAnsi="Calibri" w:eastAsia="Calibri"/>
                <w:sz w:val="19"/>
                <w:highlight w:val="yellow"/>
              </w:rPr>
              <w:t>[toutes indications permettant d’apprécier l’intérêt qui s’attachait à la conclusion de la convention]</w:t>
            </w:r>
          </w:p>
        </w:tc>
      </w:tr>
      <w:tr>
        <w:tc>
          <w:tcPr>
            <w:tcW w:type="dxa" w:w="2948"/>
            <w:shd w:val="clear" w:color="auto" w:fill="F5F6F8"/>
          </w:tcPr>
          <w:p>
            <w:pPr>
              <w:spacing w:after="20" w:before="0"/>
            </w:pPr>
            <w:r>
              <w:rPr>
                <w:rFonts w:ascii="Calibri" w:hAnsi="Calibri" w:eastAsia="Calibri"/>
                <w:b/>
                <w:sz w:val="19"/>
              </w:rPr>
              <w:t>Montants de l’exercice</w:t>
            </w:r>
          </w:p>
        </w:tc>
        <w:tc>
          <w:tcPr>
            <w:tcW w:type="dxa" w:w="6406"/>
          </w:tcPr>
          <w:p>
            <w:pPr>
              <w:spacing w:after="20" w:before="0"/>
            </w:pPr>
            <w:r>
              <w:rPr>
                <w:rFonts w:ascii="Calibri" w:hAnsi="Calibri" w:eastAsia="Calibri"/>
                <w:sz w:val="19"/>
                <w:highlight w:val="yellow"/>
              </w:rPr>
              <w:t>[fournitures livrées, prestations fournies, sommes versées ou reçues : … €]</w:t>
            </w:r>
          </w:p>
        </w:tc>
      </w:tr>
    </w:tbl>
    <w:p>
      <w:pPr>
        <w:spacing w:after="120"/>
      </w:pPr>
    </w:p>
    <w:p>
      <w:pPr>
        <w:spacing w:after="120" w:before="0"/>
      </w:pPr>
      <w:r>
        <w:rPr>
          <w:rFonts w:ascii="Calibri" w:hAnsi="Calibri" w:eastAsia="Calibri"/>
          <w:b/>
          <w:sz w:val="22"/>
        </w:rPr>
        <w:t>2. Conventions conclues au cours d’exercices antérieurs dont l’exécution s’est poursuivie au cours de l’exercice</w:t>
      </w:r>
    </w:p>
    <w:tbl>
      <w:tblPr>
        <w:tblStyle w:val="TableGrid"/>
        <w:tblW w:type="auto" w:w="0"/>
        <w:jc w:val="center"/>
        <w:tblLayout w:type="fixed"/>
        <w:tblLook w:firstColumn="1" w:firstRow="1" w:lastColumn="0" w:lastRow="0" w:noHBand="0" w:noVBand="1" w:val="04A0"/>
      </w:tblPr>
      <w:tblGrid>
        <w:gridCol w:w="3118"/>
        <w:gridCol w:w="2551"/>
        <w:gridCol w:w="3685"/>
      </w:tblGrid>
      <w:tr>
        <w:tc>
          <w:tcPr>
            <w:tcW w:type="dxa" w:w="3118"/>
            <w:shd w:val="clear" w:color="auto" w:fill="EEF1F4"/>
          </w:tcPr>
          <w:p>
            <w:pPr>
              <w:spacing w:after="20" w:before="0"/>
            </w:pPr>
            <w:r>
              <w:rPr>
                <w:rFonts w:ascii="Calibri" w:hAnsi="Calibri" w:eastAsia="Calibri"/>
                <w:b/>
                <w:sz w:val="19"/>
              </w:rPr>
              <w:t>Convention et date</w:t>
            </w:r>
          </w:p>
        </w:tc>
        <w:tc>
          <w:tcPr>
            <w:tcW w:type="dxa" w:w="2551"/>
            <w:shd w:val="clear" w:color="auto" w:fill="EEF1F4"/>
          </w:tcPr>
          <w:p>
            <w:pPr>
              <w:spacing w:after="20" w:before="0"/>
            </w:pPr>
            <w:r>
              <w:rPr>
                <w:rFonts w:ascii="Calibri" w:hAnsi="Calibri" w:eastAsia="Calibri"/>
                <w:b/>
                <w:sz w:val="19"/>
              </w:rPr>
              <w:t>Personne intéressée</w:t>
            </w:r>
          </w:p>
        </w:tc>
        <w:tc>
          <w:tcPr>
            <w:tcW w:type="dxa" w:w="3685"/>
            <w:shd w:val="clear" w:color="auto" w:fill="EEF1F4"/>
          </w:tcPr>
          <w:p>
            <w:pPr>
              <w:spacing w:after="20" w:before="0"/>
            </w:pPr>
            <w:r>
              <w:rPr>
                <w:rFonts w:ascii="Calibri" w:hAnsi="Calibri" w:eastAsia="Calibri"/>
                <w:b/>
                <w:sz w:val="19"/>
              </w:rPr>
              <w:t>Fournitures, prestations ou sommes versées / reçues au cours de l’exercice</w:t>
            </w:r>
          </w:p>
        </w:tc>
      </w:tr>
      <w:tr>
        <w:tc>
          <w:tcPr>
            <w:tcW w:type="dxa" w:w="3118"/>
          </w:tcPr>
          <w:p>
            <w:pPr>
              <w:spacing w:after="20" w:before="0"/>
            </w:pPr>
            <w:r>
              <w:rPr>
                <w:rFonts w:ascii="Calibri" w:hAnsi="Calibri" w:eastAsia="Calibri"/>
                <w:sz w:val="19"/>
                <w:highlight w:val="yellow"/>
              </w:rPr>
              <w:t>[…]</w:t>
            </w:r>
          </w:p>
        </w:tc>
        <w:tc>
          <w:tcPr>
            <w:tcW w:type="dxa" w:w="2551"/>
          </w:tcPr>
          <w:p>
            <w:pPr>
              <w:spacing w:after="20" w:before="0"/>
            </w:pPr>
            <w:r>
              <w:rPr>
                <w:rFonts w:ascii="Calibri" w:hAnsi="Calibri" w:eastAsia="Calibri"/>
                <w:sz w:val="19"/>
                <w:highlight w:val="yellow"/>
              </w:rPr>
              <w:t>[…]</w:t>
            </w:r>
          </w:p>
        </w:tc>
        <w:tc>
          <w:tcPr>
            <w:tcW w:type="dxa" w:w="3685"/>
          </w:tcPr>
          <w:p>
            <w:pPr>
              <w:spacing w:after="20" w:before="0"/>
            </w:pPr>
            <w:r>
              <w:rPr>
                <w:rFonts w:ascii="Calibri" w:hAnsi="Calibri" w:eastAsia="Calibri"/>
                <w:sz w:val="19"/>
                <w:highlight w:val="yellow"/>
              </w:rPr>
              <w:t>[…] €</w:t>
            </w:r>
          </w:p>
        </w:tc>
      </w:tr>
      <w:tr>
        <w:tc>
          <w:tcPr>
            <w:tcW w:type="dxa" w:w="3118"/>
          </w:tcPr>
          <w:p>
            <w:pPr>
              <w:spacing w:after="20" w:before="0"/>
            </w:pPr>
            <w:r>
              <w:rPr>
                <w:rFonts w:ascii="Calibri" w:hAnsi="Calibri" w:eastAsia="Calibri"/>
                <w:sz w:val="19"/>
                <w:highlight w:val="yellow"/>
              </w:rPr>
              <w:t>[…]</w:t>
            </w:r>
          </w:p>
        </w:tc>
        <w:tc>
          <w:tcPr>
            <w:tcW w:type="dxa" w:w="2551"/>
          </w:tcPr>
          <w:p>
            <w:pPr>
              <w:spacing w:after="20" w:before="0"/>
            </w:pPr>
            <w:r>
              <w:rPr>
                <w:rFonts w:ascii="Calibri" w:hAnsi="Calibri" w:eastAsia="Calibri"/>
                <w:sz w:val="19"/>
                <w:highlight w:val="yellow"/>
              </w:rPr>
              <w:t>[…]</w:t>
            </w:r>
          </w:p>
        </w:tc>
        <w:tc>
          <w:tcPr>
            <w:tcW w:type="dxa" w:w="3685"/>
          </w:tcPr>
          <w:p>
            <w:pPr>
              <w:spacing w:after="20" w:before="0"/>
            </w:pPr>
            <w:r>
              <w:rPr>
                <w:rFonts w:ascii="Calibri" w:hAnsi="Calibri" w:eastAsia="Calibri"/>
                <w:sz w:val="19"/>
                <w:highlight w:val="yellow"/>
              </w:rPr>
              <w:t>[…] €</w:t>
            </w:r>
          </w:p>
        </w:tc>
      </w:tr>
    </w:tbl>
    <w:p>
      <w:pPr>
        <w:spacing w:after="120"/>
      </w:pPr>
    </w:p>
    <w:p>
      <w:pPr>
        <w:spacing w:after="160" w:before="0"/>
        <w:jc w:val="both"/>
      </w:pPr>
      <w:r>
        <w:rPr>
          <w:rFonts w:ascii="Calibri" w:hAnsi="Calibri" w:eastAsia="Calibri"/>
          <w:sz w:val="22"/>
          <w:highlight w:val="yellow"/>
        </w:rPr>
        <w:t>[Ou : Aucune convention conclue au cours d’un exercice antérieur ne s’est poursuivie au cours de l’exercice écoulé.]</w:t>
      </w:r>
    </w:p>
    <w:p>
      <w:pPr>
        <w:spacing w:after="120" w:before="0"/>
      </w:pPr>
      <w:r>
        <w:rPr>
          <w:rFonts w:ascii="Calibri" w:hAnsi="Calibri" w:eastAsia="Calibri"/>
          <w:b/>
          <w:sz w:val="22"/>
        </w:rPr>
        <w:t xml:space="preserve">3. </w:t>
      </w:r>
      <w:r>
        <w:rPr>
          <w:rFonts w:ascii="Calibri" w:hAnsi="Calibri" w:eastAsia="Calibri"/>
          <w:b/>
          <w:sz w:val="22"/>
          <w:highlight w:val="yellow"/>
        </w:rPr>
        <w:t>[Conventions conclues par un gérant non associé]</w:t>
      </w:r>
    </w:p>
    <w:p>
      <w:pPr>
        <w:spacing w:after="160" w:before="0"/>
        <w:jc w:val="both"/>
      </w:pPr>
      <w:r>
        <w:rPr>
          <w:rFonts w:ascii="Calibri" w:hAnsi="Calibri" w:eastAsia="Calibri"/>
          <w:sz w:val="22"/>
          <w:highlight w:val="yellow"/>
        </w:rPr>
        <w:t>[En l’absence de commissaire aux comptes, ces conventions sont soumises à l’approbation préalable de l’assemblée : rappeler ici, le cas échéant, la décision du … qui les a approuvées. Sinon, supprimer cette rubrique.]</w:t>
      </w:r>
    </w:p>
    <w:p>
      <w:pPr>
        <w:spacing w:after="120" w:before="0"/>
      </w:pPr>
      <w:r>
        <w:rPr>
          <w:rFonts w:ascii="Calibri" w:hAnsi="Calibri" w:eastAsia="Calibri"/>
          <w:b/>
          <w:sz w:val="22"/>
        </w:rPr>
        <w:t>4. Modalités du vote</w:t>
      </w:r>
    </w:p>
    <w:p>
      <w:pPr>
        <w:spacing w:after="160" w:before="0"/>
        <w:jc w:val="both"/>
      </w:pPr>
      <w:r>
        <w:rPr>
          <w:rFonts w:ascii="Calibri" w:hAnsi="Calibri" w:eastAsia="Calibri"/>
          <w:sz w:val="22"/>
        </w:rPr>
        <w:t>Nous vous rappelons que le gérant ou l’associé intéressé ne peut prendre part au vote et que ses parts ne sont prises en compte ni pour le calcul du quorum ni pour celui de la majorité. Nous vous proposons de statuer par une résolution distincte pour chaque convention.</w:t>
      </w:r>
    </w:p>
    <w:p>
      <w:pPr>
        <w:spacing w:after="160" w:before="0"/>
        <w:jc w:val="both"/>
      </w:pPr>
      <w:r>
        <w:rPr>
          <w:rFonts w:ascii="Calibri" w:hAnsi="Calibri" w:eastAsia="Calibri"/>
          <w:sz w:val="22"/>
        </w:rPr>
        <w:t>Les conventions non approuvées produisent néanmoins leurs effets, à charge pour le gérant et, s’il y a lieu, pour l’associé contractant, de supporter, individuellement ou solidairement selon les cas, les conséquences du contrat préjudiciables à la société.</w:t>
      </w:r>
    </w:p>
    <w:p>
      <w:pPr>
        <w:spacing w:after="240" w:before="0"/>
        <w:jc w:val="both"/>
      </w:pPr>
      <w:r>
        <w:rPr>
          <w:rFonts w:ascii="Calibri" w:hAnsi="Calibri" w:eastAsia="Calibri"/>
          <w:sz w:val="22"/>
          <w:highlight w:val="yellow"/>
        </w:rPr>
        <w:t>[Ou, en l’absence de toute convention : Nous vous informons qu’aucune convention visée à l’article L. 223-19 du code de commerce n’a été conclue au cours de l’exercice et qu’aucune convention antérieure ne s’est poursuivie.]</w:t>
      </w:r>
    </w:p>
    <w:p>
      <w:pPr>
        <w:spacing w:after="200" w:before="0"/>
        <w:jc w:val="both"/>
      </w:pPr>
      <w:r>
        <w:rPr>
          <w:rFonts w:ascii="Calibri" w:hAnsi="Calibri" w:eastAsia="Calibri"/>
          <w:sz w:val="22"/>
        </w:rPr>
        <w:t xml:space="preserve">Fait à </w:t>
      </w:r>
      <w:r>
        <w:rPr>
          <w:rFonts w:ascii="Calibri" w:hAnsi="Calibri" w:eastAsia="Calibri"/>
          <w:sz w:val="22"/>
          <w:highlight w:val="yellow"/>
        </w:rPr>
        <w:t>[lieu]</w:t>
      </w:r>
      <w:r>
        <w:rPr>
          <w:rFonts w:ascii="Calibri" w:hAnsi="Calibri" w:eastAsia="Calibri"/>
          <w:sz w:val="22"/>
        </w:rPr>
        <w:t xml:space="preserve">, le </w:t>
      </w:r>
      <w:r>
        <w:rPr>
          <w:rFonts w:ascii="Calibri" w:hAnsi="Calibri" w:eastAsia="Calibri"/>
          <w:sz w:val="22"/>
          <w:highlight w:val="yellow"/>
        </w:rPr>
        <w:t>[date]</w:t>
      </w:r>
    </w:p>
    <w:p>
      <w:pPr>
        <w:spacing w:after="40" w:before="0"/>
        <w:ind w:left="5102"/>
      </w:pPr>
      <w:r>
        <w:rPr>
          <w:rFonts w:ascii="Calibri" w:hAnsi="Calibri" w:eastAsia="Calibri"/>
          <w:b/>
          <w:sz w:val="22"/>
        </w:rPr>
        <w:t>La gérance</w:t>
      </w:r>
    </w:p>
    <w:p>
      <w:pPr>
        <w:spacing w:after="200" w:before="0"/>
        <w:ind w:left="5102"/>
      </w:pPr>
      <w:r>
        <w:rPr>
          <w:rFonts w:ascii="Calibri" w:hAnsi="Calibri" w:eastAsia="Calibri"/>
          <w:sz w:val="22"/>
          <w:highlight w:val="yellow"/>
        </w:rPr>
        <w:t>[Prénom NOM — signature]</w:t>
      </w:r>
    </w:p>
    <w:p>
      <w:r>
        <w:br w:type="page"/>
      </w:r>
    </w:p>
    <w:p>
      <w:pPr>
        <w:spacing w:after="200" w:before="0"/>
        <w:jc w:val="center"/>
      </w:pPr>
      <w:r>
        <w:rPr>
          <w:rFonts w:ascii="Calibri" w:hAnsi="Calibri" w:eastAsia="Calibri"/>
          <w:b/>
          <w:sz w:val="24"/>
        </w:rPr>
        <w:t>ANNEXE — AIDE AU REPÉRAGE DES CONVENTIONS (à supprimer avant diffusion)</w:t>
      </w:r>
    </w:p>
    <w:p>
      <w:pPr>
        <w:spacing w:after="120" w:before="0"/>
        <w:jc w:val="both"/>
      </w:pPr>
      <w:r>
        <w:rPr>
          <w:rFonts w:ascii="Calibri" w:hAnsi="Calibri" w:eastAsia="Calibri"/>
          <w:sz w:val="22"/>
        </w:rPr>
        <w:t>Opérations à examiner chaque année avec votre comptable, pour décider si elles entrent dans le champ de l’article L. 223-19 ou si elles constituent des opérations courantes conclues à des conditions normales (art. L. 223-20) :</w:t>
      </w:r>
    </w:p>
    <w:tbl>
      <w:tblPr>
        <w:tblStyle w:val="TableGrid"/>
        <w:tblW w:type="auto" w:w="0"/>
        <w:jc w:val="center"/>
        <w:tblLayout w:type="fixed"/>
        <w:tblLook w:firstColumn="1" w:firstRow="1" w:lastColumn="0" w:lastRow="0" w:noHBand="0" w:noVBand="1" w:val="04A0"/>
      </w:tblPr>
      <w:tblGrid>
        <w:gridCol w:w="2835"/>
        <w:gridCol w:w="3118"/>
        <w:gridCol w:w="3402"/>
      </w:tblGrid>
      <w:tr>
        <w:tc>
          <w:tcPr>
            <w:tcW w:type="dxa" w:w="2835"/>
            <w:shd w:val="clear" w:color="auto" w:fill="EEF1F4"/>
          </w:tcPr>
          <w:p>
            <w:pPr>
              <w:spacing w:after="20" w:before="0"/>
            </w:pPr>
            <w:r>
              <w:rPr>
                <w:rFonts w:ascii="Calibri" w:hAnsi="Calibri" w:eastAsia="Calibri"/>
                <w:b/>
                <w:sz w:val="18"/>
              </w:rPr>
              <w:t>Opération</w:t>
            </w:r>
          </w:p>
        </w:tc>
        <w:tc>
          <w:tcPr>
            <w:tcW w:type="dxa" w:w="3118"/>
            <w:shd w:val="clear" w:color="auto" w:fill="EEF1F4"/>
          </w:tcPr>
          <w:p>
            <w:pPr>
              <w:spacing w:after="20" w:before="0"/>
            </w:pPr>
            <w:r>
              <w:rPr>
                <w:rFonts w:ascii="Calibri" w:hAnsi="Calibri" w:eastAsia="Calibri"/>
                <w:b/>
                <w:sz w:val="18"/>
              </w:rPr>
              <w:t>Avec qui ?</w:t>
            </w:r>
          </w:p>
        </w:tc>
        <w:tc>
          <w:tcPr>
            <w:tcW w:type="dxa" w:w="3402"/>
            <w:shd w:val="clear" w:color="auto" w:fill="EEF1F4"/>
          </w:tcPr>
          <w:p>
            <w:pPr>
              <w:spacing w:after="20" w:before="0"/>
            </w:pPr>
            <w:r>
              <w:rPr>
                <w:rFonts w:ascii="Calibri" w:hAnsi="Calibri" w:eastAsia="Calibri"/>
                <w:b/>
                <w:sz w:val="18"/>
              </w:rPr>
              <w:t>À examiner</w:t>
            </w:r>
          </w:p>
        </w:tc>
      </w:tr>
      <w:tr>
        <w:tc>
          <w:tcPr>
            <w:tcW w:type="dxa" w:w="2835"/>
          </w:tcPr>
          <w:p>
            <w:pPr>
              <w:spacing w:after="20" w:before="0"/>
            </w:pPr>
            <w:r>
              <w:rPr>
                <w:rFonts w:ascii="Calibri" w:hAnsi="Calibri" w:eastAsia="Calibri"/>
                <w:sz w:val="18"/>
              </w:rPr>
              <w:t>Bail ou mise à disposition de locaux</w:t>
            </w:r>
          </w:p>
        </w:tc>
        <w:tc>
          <w:tcPr>
            <w:tcW w:type="dxa" w:w="3118"/>
          </w:tcPr>
          <w:p>
            <w:pPr>
              <w:spacing w:after="20" w:before="0"/>
            </w:pPr>
            <w:r>
              <w:rPr>
                <w:rFonts w:ascii="Calibri" w:hAnsi="Calibri" w:eastAsia="Calibri"/>
                <w:sz w:val="18"/>
              </w:rPr>
              <w:t>Gérant, associé ou société qu’ils dirigent</w:t>
            </w:r>
          </w:p>
        </w:tc>
        <w:tc>
          <w:tcPr>
            <w:tcW w:type="dxa" w:w="3402"/>
          </w:tcPr>
          <w:p>
            <w:pPr>
              <w:spacing w:after="20" w:before="0"/>
            </w:pPr>
            <w:r>
              <w:rPr>
                <w:rFonts w:ascii="Calibri" w:hAnsi="Calibri" w:eastAsia="Calibri"/>
                <w:sz w:val="18"/>
              </w:rPr>
              <w:t>Loyer et charges au regard du marché</w:t>
            </w:r>
          </w:p>
        </w:tc>
      </w:tr>
      <w:tr>
        <w:tc>
          <w:tcPr>
            <w:tcW w:type="dxa" w:w="2835"/>
          </w:tcPr>
          <w:p>
            <w:pPr>
              <w:spacing w:after="20" w:before="0"/>
            </w:pPr>
            <w:r>
              <w:rPr>
                <w:rFonts w:ascii="Calibri" w:hAnsi="Calibri" w:eastAsia="Calibri"/>
                <w:sz w:val="18"/>
              </w:rPr>
              <w:t>Avance en compte courant rémunérée</w:t>
            </w:r>
          </w:p>
        </w:tc>
        <w:tc>
          <w:tcPr>
            <w:tcW w:type="dxa" w:w="3118"/>
          </w:tcPr>
          <w:p>
            <w:pPr>
              <w:spacing w:after="20" w:before="0"/>
            </w:pPr>
            <w:r>
              <w:rPr>
                <w:rFonts w:ascii="Calibri" w:hAnsi="Calibri" w:eastAsia="Calibri"/>
                <w:sz w:val="18"/>
              </w:rPr>
              <w:t>Associé ou gérant</w:t>
            </w:r>
          </w:p>
        </w:tc>
        <w:tc>
          <w:tcPr>
            <w:tcW w:type="dxa" w:w="3402"/>
          </w:tcPr>
          <w:p>
            <w:pPr>
              <w:spacing w:after="20" w:before="0"/>
            </w:pPr>
            <w:r>
              <w:rPr>
                <w:rFonts w:ascii="Calibri" w:hAnsi="Calibri" w:eastAsia="Calibri"/>
                <w:sz w:val="18"/>
              </w:rPr>
              <w:t>Taux d’intérêt, durée, blocage</w:t>
            </w:r>
          </w:p>
        </w:tc>
      </w:tr>
      <w:tr>
        <w:tc>
          <w:tcPr>
            <w:tcW w:type="dxa" w:w="2835"/>
          </w:tcPr>
          <w:p>
            <w:pPr>
              <w:spacing w:after="20" w:before="0"/>
            </w:pPr>
            <w:r>
              <w:rPr>
                <w:rFonts w:ascii="Calibri" w:hAnsi="Calibri" w:eastAsia="Calibri"/>
                <w:sz w:val="18"/>
              </w:rPr>
              <w:t>Contrat de prestation ou de fourniture</w:t>
            </w:r>
          </w:p>
        </w:tc>
        <w:tc>
          <w:tcPr>
            <w:tcW w:type="dxa" w:w="3118"/>
          </w:tcPr>
          <w:p>
            <w:pPr>
              <w:spacing w:after="20" w:before="0"/>
            </w:pPr>
            <w:r>
              <w:rPr>
                <w:rFonts w:ascii="Calibri" w:hAnsi="Calibri" w:eastAsia="Calibri"/>
                <w:sz w:val="18"/>
              </w:rPr>
              <w:t>Société sœur ayant un dirigeant ou associé commun</w:t>
            </w:r>
          </w:p>
        </w:tc>
        <w:tc>
          <w:tcPr>
            <w:tcW w:type="dxa" w:w="3402"/>
          </w:tcPr>
          <w:p>
            <w:pPr>
              <w:spacing w:after="20" w:before="0"/>
            </w:pPr>
            <w:r>
              <w:rPr>
                <w:rFonts w:ascii="Calibri" w:hAnsi="Calibri" w:eastAsia="Calibri"/>
                <w:sz w:val="18"/>
              </w:rPr>
              <w:t>Prix, volume, conditions de paiement</w:t>
            </w:r>
          </w:p>
        </w:tc>
      </w:tr>
      <w:tr>
        <w:tc>
          <w:tcPr>
            <w:tcW w:type="dxa" w:w="2835"/>
          </w:tcPr>
          <w:p>
            <w:pPr>
              <w:spacing w:after="20" w:before="0"/>
            </w:pPr>
            <w:r>
              <w:rPr>
                <w:rFonts w:ascii="Calibri" w:hAnsi="Calibri" w:eastAsia="Calibri"/>
                <w:sz w:val="18"/>
              </w:rPr>
              <w:t>Achat ou vente d’un bien</w:t>
            </w:r>
          </w:p>
        </w:tc>
        <w:tc>
          <w:tcPr>
            <w:tcW w:type="dxa" w:w="3118"/>
          </w:tcPr>
          <w:p>
            <w:pPr>
              <w:spacing w:after="20" w:before="0"/>
            </w:pPr>
            <w:r>
              <w:rPr>
                <w:rFonts w:ascii="Calibri" w:hAnsi="Calibri" w:eastAsia="Calibri"/>
                <w:sz w:val="18"/>
              </w:rPr>
              <w:t>Gérant, associé ou personne interposée</w:t>
            </w:r>
          </w:p>
        </w:tc>
        <w:tc>
          <w:tcPr>
            <w:tcW w:type="dxa" w:w="3402"/>
          </w:tcPr>
          <w:p>
            <w:pPr>
              <w:spacing w:after="20" w:before="0"/>
            </w:pPr>
            <w:r>
              <w:rPr>
                <w:rFonts w:ascii="Calibri" w:hAnsi="Calibri" w:eastAsia="Calibri"/>
                <w:sz w:val="18"/>
              </w:rPr>
              <w:t>Prix et mode de détermination</w:t>
            </w:r>
          </w:p>
        </w:tc>
      </w:tr>
      <w:tr>
        <w:tc>
          <w:tcPr>
            <w:tcW w:type="dxa" w:w="2835"/>
          </w:tcPr>
          <w:p>
            <w:pPr>
              <w:spacing w:after="20" w:before="0"/>
            </w:pPr>
            <w:r>
              <w:rPr>
                <w:rFonts w:ascii="Calibri" w:hAnsi="Calibri" w:eastAsia="Calibri"/>
                <w:sz w:val="18"/>
              </w:rPr>
              <w:t>Prêt, découvert, caution ou aval consenti par la société</w:t>
            </w:r>
          </w:p>
        </w:tc>
        <w:tc>
          <w:tcPr>
            <w:tcW w:type="dxa" w:w="3118"/>
          </w:tcPr>
          <w:p>
            <w:pPr>
              <w:spacing w:after="20" w:before="0"/>
            </w:pPr>
            <w:r>
              <w:rPr>
                <w:rFonts w:ascii="Calibri" w:hAnsi="Calibri" w:eastAsia="Calibri"/>
                <w:sz w:val="18"/>
              </w:rPr>
              <w:t>Gérant, associé personne physique, représentant légal d’un associé personne morale, leurs conjoint, ascendants et descendants, personne interposée</w:t>
            </w:r>
          </w:p>
        </w:tc>
        <w:tc>
          <w:tcPr>
            <w:tcW w:type="dxa" w:w="3402"/>
          </w:tcPr>
          <w:p>
            <w:pPr>
              <w:spacing w:after="20" w:before="0"/>
            </w:pPr>
            <w:r>
              <w:rPr>
                <w:rFonts w:ascii="Calibri" w:hAnsi="Calibri" w:eastAsia="Calibri"/>
                <w:b/>
                <w:sz w:val="18"/>
              </w:rPr>
              <w:t>Interdit à peine de nullité du contrat (art. L. 223-21) : ne pas soumettre au vote, renoncer à l’opération</w:t>
            </w:r>
          </w:p>
        </w:tc>
      </w:tr>
    </w:tbl>
    <w:p>
      <w:pPr>
        <w:spacing w:after="120"/>
      </w:pP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Qui présente le rapport : le gérant ou, s’il en existe un, le commissaire aux comptes ; il est présenté à l’assemblée ou joint aux documents communiqués aux associés en cas de consultation écrite, et l’assemblée statue sur ce rapport (C. com., art. L. 223-19, al. 1). Ce modèle est celui du rapport de la gérance : il ne remplace pas le rapport du commissaire aux comptes lorsque la société en a désigné un.</w:t>
      </w:r>
    </w:p>
    <w:p>
      <w:pPr>
        <w:spacing w:after="100" w:before="0"/>
        <w:jc w:val="both"/>
      </w:pPr>
      <w:r>
        <w:rPr>
          <w:rFonts w:ascii="Calibri" w:hAnsi="Calibri" w:eastAsia="Calibri"/>
          <w:color w:val="374151"/>
          <w:sz w:val="20"/>
        </w:rPr>
        <w:t>• Contenu obligatoire (art. R. 223-17) : énumération des conventions soumises à l’approbation ; nom des gérants ou associés intéressés ; nature et objet des conventions ; modalités essentielles (prix ou tarifs, ristournes et commissions, délais de paiement, intérêts, sûretés et toute indication permettant d’apprécier l’intérêt de la convention) ; importance des fournitures livrées ou prestations fournies et montant des sommes versées ou reçues au cours de l’exercice au titre des conventions antérieures poursuivies.</w:t>
      </w:r>
    </w:p>
    <w:p>
      <w:pPr>
        <w:spacing w:after="100" w:before="0"/>
        <w:jc w:val="both"/>
      </w:pPr>
      <w:r>
        <w:rPr>
          <w:rFonts w:ascii="Calibri" w:hAnsi="Calibri" w:eastAsia="Calibri"/>
          <w:color w:val="374151"/>
          <w:sz w:val="20"/>
        </w:rPr>
        <w:t>• Commissaire aux comptes : le gérant l’avise des conventions dans le mois de leur conclusion et, pour les conventions antérieures poursuivies, dans le mois de la clôture de l’exercice (art. R. 223-16).</w:t>
      </w:r>
    </w:p>
    <w:p>
      <w:pPr>
        <w:spacing w:after="100" w:before="0"/>
        <w:jc w:val="both"/>
      </w:pPr>
      <w:r>
        <w:rPr>
          <w:rFonts w:ascii="Calibri" w:hAnsi="Calibri" w:eastAsia="Calibri"/>
          <w:color w:val="374151"/>
          <w:sz w:val="20"/>
        </w:rPr>
        <w:t>• Champ : conventions conclues directement ou par personne interposée avec un gérant ou un associé, et conventions passées avec une société dont un associé indéfiniment responsable, gérant, administrateur, directeur général, membre du directoire ou du conseil de surveillance est simultanément gérant ou associé de la SARL (art. L. 223-19, al. 5). Sont exclues les conventions portant sur des opérations courantes et conclues à des conditions normales (art. L. 223-20).</w:t>
      </w:r>
    </w:p>
    <w:p>
      <w:pPr>
        <w:spacing w:after="100" w:before="0"/>
        <w:jc w:val="both"/>
      </w:pPr>
      <w:r>
        <w:rPr>
          <w:rFonts w:ascii="Calibri" w:hAnsi="Calibri" w:eastAsia="Calibri"/>
          <w:color w:val="374151"/>
          <w:sz w:val="20"/>
        </w:rPr>
        <w:t>• Gérant non associé, sans commissaire aux comptes : ses conventions sont soumises à l’approbation préalable de l’assemblée (art. L. 223-19, al. 2) — c’est-à-dire avant leur conclusion, par une décision distincte de l’approbation annuelle.</w:t>
      </w:r>
    </w:p>
    <w:p>
      <w:pPr>
        <w:spacing w:after="100" w:before="0"/>
        <w:jc w:val="both"/>
      </w:pPr>
      <w:r>
        <w:rPr>
          <w:rFonts w:ascii="Calibri" w:hAnsi="Calibri" w:eastAsia="Calibri"/>
          <w:color w:val="374151"/>
          <w:sz w:val="20"/>
        </w:rPr>
        <w:t>• EURL : lorsque la convention est conclue avec l’associé unique, il en est seulement fait mention au registre des décisions (art. L. 223-19, al. 3, et R. 223-26) ; ce rapport n’est alors pas nécessaire.</w:t>
      </w:r>
    </w:p>
    <w:p>
      <w:pPr>
        <w:spacing w:after="100" w:before="0"/>
        <w:jc w:val="both"/>
      </w:pPr>
      <w:r>
        <w:rPr>
          <w:rFonts w:ascii="Calibri" w:hAnsi="Calibri" w:eastAsia="Calibri"/>
          <w:color w:val="374151"/>
          <w:sz w:val="20"/>
        </w:rPr>
        <w:t>• SAS : le régime est différent (rapport du commissaire aux comptes ou du Président ; conventions avec le Président, un dirigeant, un associé disposant de plus de 10 % des droits de vote ou, s’il s’agit d’une société associée, la société qui la contrôle — art. L. 227-10) : adaptez ce modèle en conséquence.</w:t>
      </w:r>
    </w:p>
    <w:p>
      <w:pPr>
        <w:spacing w:after="100" w:before="0"/>
        <w:jc w:val="both"/>
      </w:pPr>
      <w:r>
        <w:rPr>
          <w:rFonts w:ascii="Calibri" w:hAnsi="Calibri" w:eastAsia="Calibri"/>
          <w:color w:val="374151"/>
          <w:sz w:val="20"/>
        </w:rPr>
        <w:t>• Les opérations visées par l’article L. 223-21 (emprunts auprès de la société, découverts en compte courant ou autrement, cautionnement ou aval par la société de leurs engagements envers les tiers, au profit des gérants, des associés autres que les personnes morales, des représentants légaux des personnes morales associées, de leurs conjoint, ascendants et descendants ou de toute personne interposée) sont interdites à peine de nullité du contrat : ne les soumettez pas au vote, renoncez-y.</w:t>
      </w:r>
    </w:p>
    <w:p>
      <w:pPr>
        <w:spacing w:after="100" w:before="0"/>
        <w:jc w:val="both"/>
      </w:pPr>
      <w:r>
        <w:rPr>
          <w:rFonts w:ascii="Calibri" w:hAnsi="Calibri" w:eastAsia="Calibri"/>
          <w:color w:val="374151"/>
          <w:sz w:val="20"/>
        </w:rPr>
        <w:t>• Supprimez l’en-tête « Modèle fourni à titre informatif… », les surlignages, les options inutiles et la présente page avant signature. Conservez l’original signé dans les registres de la société.</w:t>
      </w:r>
    </w:p>
    <w:p>
      <w:pPr>
        <w:spacing w:after="100" w:before="0"/>
        <w:jc w:val="both"/>
      </w:pPr>
      <w:r>
        <w:rPr>
          <w:rFonts w:ascii="Calibri" w:hAnsi="Calibri" w:eastAsia="Calibri"/>
          <w:color w:val="374151"/>
          <w:sz w:val="20"/>
        </w:rPr>
        <w:t>• Ce modèle est une base de travail : faites relire le document par un avocat avant signature, en particulier en cas de désaccord entre associés, d’opération inhabituelle ou de doute sur une clause des statuts.</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conventions réglementées de SARL</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