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4"/>
        </w:rPr>
        <w:t xml:space="preserve">SOCIÉTÉ </w:t>
      </w:r>
      <w:r>
        <w:rPr>
          <w:rFonts w:ascii="Calibri" w:hAnsi="Calibri" w:eastAsia="Calibri"/>
          <w:b/>
          <w:sz w:val="24"/>
          <w:highlight w:val="yellow"/>
        </w:rPr>
        <w:t>[DÉNOMINATION]</w:t>
      </w:r>
    </w:p>
    <w:p>
      <w:pPr>
        <w:spacing w:after="40" w:before="0"/>
        <w:jc w:val="center"/>
      </w:pPr>
      <w:r>
        <w:rPr>
          <w:rFonts w:ascii="Calibri" w:hAnsi="Calibri" w:eastAsia="Calibri"/>
          <w:sz w:val="22"/>
        </w:rPr>
        <w:t>Société par actions simplifiée</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w:t>
      </w:r>
    </w:p>
    <w:p>
      <w:pPr>
        <w:spacing w:after="40" w:before="0"/>
        <w:jc w:val="center"/>
      </w:pPr>
      <w:r>
        <w:rPr>
          <w:rFonts w:ascii="Calibri" w:hAnsi="Calibri" w:eastAsia="Calibri"/>
          <w:sz w:val="22"/>
        </w:rPr>
        <w:t xml:space="preserve">Siège social : </w:t>
      </w:r>
      <w:r>
        <w:rPr>
          <w:rFonts w:ascii="Calibri" w:hAnsi="Calibri" w:eastAsia="Calibri"/>
          <w:sz w:val="22"/>
          <w:highlight w:val="yellow"/>
        </w:rPr>
        <w:t>[adresse complète]</w:t>
      </w:r>
    </w:p>
    <w:p>
      <w:pPr>
        <w:spacing w:after="280" w:before="0"/>
        <w:jc w:val="center"/>
      </w:pPr>
      <w:r>
        <w:rPr>
          <w:rFonts w:ascii="Calibri" w:hAnsi="Calibri" w:eastAsia="Calibri"/>
          <w:sz w:val="22"/>
          <w:highlight w:val="yellow"/>
        </w:rPr>
        <w:t>[RCS Ville]</w:t>
      </w:r>
      <w:r>
        <w:rPr>
          <w:rFonts w:ascii="Calibri" w:hAnsi="Calibri" w:eastAsia="Calibri"/>
          <w:sz w:val="22"/>
        </w:rPr>
        <w:t xml:space="preserve"> n° </w:t>
      </w:r>
      <w:r>
        <w:rPr>
          <w:rFonts w:ascii="Calibri" w:hAnsi="Calibri" w:eastAsia="Calibri"/>
          <w:sz w:val="22"/>
          <w:highlight w:val="yellow"/>
        </w:rPr>
        <w:t>[SIREN]</w:t>
      </w:r>
    </w:p>
    <w:p>
      <w:pPr>
        <w:spacing w:after="40" w:before="0"/>
        <w:jc w:val="center"/>
      </w:pPr>
      <w:r>
        <w:rPr>
          <w:rFonts w:ascii="Calibri" w:hAnsi="Calibri" w:eastAsia="Calibri"/>
          <w:b/>
          <w:sz w:val="24"/>
        </w:rPr>
        <w:t>PROCÈS-VERBAL DES DÉCISIONS COLLECTIVES DES ASSOCIÉS</w:t>
      </w:r>
    </w:p>
    <w:p>
      <w:pPr>
        <w:spacing w:after="40" w:before="0"/>
        <w:jc w:val="center"/>
      </w:pPr>
      <w:r>
        <w:rPr>
          <w:rFonts w:ascii="Calibri" w:hAnsi="Calibri" w:eastAsia="Calibri"/>
          <w:b/>
          <w:sz w:val="22"/>
        </w:rPr>
        <w:t xml:space="preserve">prises à l’unanimité par acte </w:t>
      </w:r>
      <w:r>
        <w:rPr>
          <w:rFonts w:ascii="Calibri" w:hAnsi="Calibri" w:eastAsia="Calibri"/>
          <w:b/>
          <w:sz w:val="22"/>
          <w:highlight w:val="yellow"/>
        </w:rPr>
        <w:t>[sous signature privée / signé électroniquement]</w:t>
      </w:r>
      <w:r>
        <w:rPr>
          <w:rFonts w:ascii="Calibri" w:hAnsi="Calibri" w:eastAsia="Calibri"/>
          <w:b/>
          <w:sz w:val="22"/>
        </w:rPr>
        <w:t xml:space="preserve"> le </w:t>
      </w:r>
      <w:r>
        <w:rPr>
          <w:rFonts w:ascii="Calibri" w:hAnsi="Calibri" w:eastAsia="Calibri"/>
          <w:b/>
          <w:sz w:val="22"/>
          <w:highlight w:val="yellow"/>
        </w:rPr>
        <w:t>[date]</w:t>
      </w:r>
    </w:p>
    <w:p>
      <w:pPr>
        <w:spacing w:after="320" w:before="0"/>
        <w:jc w:val="center"/>
      </w:pPr>
      <w:r>
        <w:rPr>
          <w:rFonts w:ascii="Calibri" w:hAnsi="Calibri" w:eastAsia="Calibri"/>
          <w:sz w:val="22"/>
        </w:rPr>
        <w:t xml:space="preserve">Approbation des comptes de l’exercice clos le </w:t>
      </w:r>
      <w:r>
        <w:rPr>
          <w:rFonts w:ascii="Calibri" w:hAnsi="Calibri" w:eastAsia="Calibri"/>
          <w:sz w:val="22"/>
          <w:highlight w:val="yellow"/>
        </w:rPr>
        <w:t>[date]</w:t>
      </w:r>
    </w:p>
    <w:p>
      <w:pPr>
        <w:spacing w:after="80" w:before="0"/>
      </w:pPr>
      <w:r>
        <w:rPr>
          <w:rFonts w:ascii="Calibri" w:hAnsi="Calibri" w:eastAsia="Calibri"/>
          <w:b/>
          <w:sz w:val="22"/>
        </w:rPr>
        <w:t>Les soussignés :</w:t>
      </w:r>
    </w:p>
    <w:tbl>
      <w:tblPr>
        <w:tblStyle w:val="TableGrid"/>
        <w:tblW w:type="auto" w:w="0"/>
        <w:jc w:val="center"/>
        <w:tblLayout w:type="fixed"/>
        <w:tblLook w:firstColumn="1" w:firstRow="1" w:lastColumn="0" w:lastRow="0" w:noHBand="0" w:noVBand="1" w:val="04A0"/>
      </w:tblPr>
      <w:tblGrid>
        <w:gridCol w:w="3685"/>
        <w:gridCol w:w="2551"/>
        <w:gridCol w:w="1474"/>
        <w:gridCol w:w="1644"/>
      </w:tblGrid>
      <w:tr>
        <w:tc>
          <w:tcPr>
            <w:tcW w:type="dxa" w:w="3685"/>
            <w:shd w:val="clear" w:color="auto" w:fill="EEF1F4"/>
          </w:tcPr>
          <w:p>
            <w:pPr>
              <w:spacing w:after="20" w:before="0"/>
            </w:pPr>
            <w:r>
              <w:rPr>
                <w:rFonts w:ascii="Calibri" w:hAnsi="Calibri" w:eastAsia="Calibri"/>
                <w:b/>
                <w:sz w:val="19"/>
              </w:rPr>
              <w:t>Associé (nom et prénoms ou dénomination, représentant)</w:t>
            </w:r>
          </w:p>
        </w:tc>
        <w:tc>
          <w:tcPr>
            <w:tcW w:type="dxa" w:w="2551"/>
            <w:shd w:val="clear" w:color="auto" w:fill="EEF1F4"/>
          </w:tcPr>
          <w:p>
            <w:pPr>
              <w:spacing w:after="20" w:before="0"/>
            </w:pPr>
            <w:r>
              <w:rPr>
                <w:rFonts w:ascii="Calibri" w:hAnsi="Calibri" w:eastAsia="Calibri"/>
                <w:b/>
                <w:sz w:val="19"/>
              </w:rPr>
              <w:t>Qualité</w:t>
            </w:r>
          </w:p>
        </w:tc>
        <w:tc>
          <w:tcPr>
            <w:tcW w:type="dxa" w:w="1474"/>
            <w:shd w:val="clear" w:color="auto" w:fill="EEF1F4"/>
          </w:tcPr>
          <w:p>
            <w:pPr>
              <w:spacing w:after="20" w:before="0"/>
            </w:pPr>
            <w:r>
              <w:rPr>
                <w:rFonts w:ascii="Calibri" w:hAnsi="Calibri" w:eastAsia="Calibri"/>
                <w:b/>
                <w:sz w:val="19"/>
              </w:rPr>
              <w:t>Nombre d’actions</w:t>
            </w:r>
          </w:p>
        </w:tc>
        <w:tc>
          <w:tcPr>
            <w:tcW w:type="dxa" w:w="1644"/>
            <w:shd w:val="clear" w:color="auto" w:fill="EEF1F4"/>
          </w:tcPr>
          <w:p>
            <w:pPr>
              <w:spacing w:after="20" w:before="0"/>
            </w:pPr>
            <w:r>
              <w:rPr>
                <w:rFonts w:ascii="Calibri" w:hAnsi="Calibri" w:eastAsia="Calibri"/>
                <w:b/>
                <w:sz w:val="19"/>
              </w:rPr>
              <w:t>Droits de vote</w:t>
            </w:r>
          </w:p>
        </w:tc>
      </w:tr>
      <w:tr>
        <w:tc>
          <w:tcPr>
            <w:tcW w:type="dxa" w:w="3685"/>
          </w:tcPr>
          <w:p>
            <w:pPr>
              <w:spacing w:after="20" w:before="0"/>
            </w:pPr>
            <w:r>
              <w:rPr>
                <w:rFonts w:ascii="Calibri" w:hAnsi="Calibri" w:eastAsia="Calibri"/>
                <w:sz w:val="19"/>
                <w:highlight w:val="yellow"/>
              </w:rPr>
              <w:t>[Prénom NOM / société …, représentée par …]</w:t>
            </w:r>
          </w:p>
        </w:tc>
        <w:tc>
          <w:tcPr>
            <w:tcW w:type="dxa" w:w="2551"/>
          </w:tcPr>
          <w:p>
            <w:pPr>
              <w:spacing w:after="20" w:before="0"/>
            </w:pPr>
            <w:r>
              <w:rPr>
                <w:rFonts w:ascii="Calibri" w:hAnsi="Calibri" w:eastAsia="Calibri"/>
                <w:sz w:val="19"/>
                <w:highlight w:val="yellow"/>
              </w:rPr>
              <w:t>[pleine propriété / usufruit / nue-propriété / indivision — mandataire : …]</w:t>
            </w:r>
          </w:p>
        </w:tc>
        <w:tc>
          <w:tcPr>
            <w:tcW w:type="dxa" w:w="1474"/>
          </w:tcPr>
          <w:p>
            <w:pPr>
              <w:spacing w:after="20" w:before="0"/>
            </w:pPr>
            <w:r>
              <w:rPr>
                <w:rFonts w:ascii="Calibri" w:hAnsi="Calibri" w:eastAsia="Calibri"/>
                <w:sz w:val="19"/>
                <w:highlight w:val="yellow"/>
              </w:rPr>
              <w:t>[…]</w:t>
            </w:r>
          </w:p>
        </w:tc>
        <w:tc>
          <w:tcPr>
            <w:tcW w:type="dxa" w:w="1644"/>
          </w:tcPr>
          <w:p>
            <w:pPr>
              <w:spacing w:after="20" w:before="0"/>
            </w:pPr>
            <w:r>
              <w:rPr>
                <w:rFonts w:ascii="Calibri" w:hAnsi="Calibri" w:eastAsia="Calibri"/>
                <w:sz w:val="19"/>
                <w:highlight w:val="yellow"/>
              </w:rPr>
              <w:t>[…]</w:t>
            </w:r>
          </w:p>
        </w:tc>
      </w:tr>
      <w:tr>
        <w:tc>
          <w:tcPr>
            <w:tcW w:type="dxa" w:w="3685"/>
          </w:tcPr>
          <w:p>
            <w:pPr>
              <w:spacing w:after="20" w:before="0"/>
            </w:pPr>
            <w:r>
              <w:rPr>
                <w:rFonts w:ascii="Calibri" w:hAnsi="Calibri" w:eastAsia="Calibri"/>
                <w:sz w:val="19"/>
                <w:highlight w:val="yellow"/>
              </w:rPr>
              <w:t>[Prénom NOM]</w:t>
            </w:r>
          </w:p>
        </w:tc>
        <w:tc>
          <w:tcPr>
            <w:tcW w:type="dxa" w:w="2551"/>
          </w:tcPr>
          <w:p>
            <w:pPr>
              <w:spacing w:after="20" w:before="0"/>
            </w:pPr>
            <w:r>
              <w:rPr>
                <w:rFonts w:ascii="Calibri" w:hAnsi="Calibri" w:eastAsia="Calibri"/>
                <w:sz w:val="19"/>
                <w:highlight w:val="yellow"/>
              </w:rPr>
              <w:t>[…]</w:t>
            </w:r>
          </w:p>
        </w:tc>
        <w:tc>
          <w:tcPr>
            <w:tcW w:type="dxa" w:w="1474"/>
          </w:tcPr>
          <w:p>
            <w:pPr>
              <w:spacing w:after="20" w:before="0"/>
            </w:pPr>
            <w:r>
              <w:rPr>
                <w:rFonts w:ascii="Calibri" w:hAnsi="Calibri" w:eastAsia="Calibri"/>
                <w:sz w:val="19"/>
                <w:highlight w:val="yellow"/>
              </w:rPr>
              <w:t>[…]</w:t>
            </w:r>
          </w:p>
        </w:tc>
        <w:tc>
          <w:tcPr>
            <w:tcW w:type="dxa" w:w="1644"/>
          </w:tcPr>
          <w:p>
            <w:pPr>
              <w:spacing w:after="20" w:before="0"/>
            </w:pPr>
            <w:r>
              <w:rPr>
                <w:rFonts w:ascii="Calibri" w:hAnsi="Calibri" w:eastAsia="Calibri"/>
                <w:sz w:val="19"/>
                <w:highlight w:val="yellow"/>
              </w:rPr>
              <w:t>[…]</w:t>
            </w:r>
          </w:p>
        </w:tc>
      </w:tr>
      <w:tr>
        <w:tc>
          <w:tcPr>
            <w:tcW w:type="dxa" w:w="3685"/>
          </w:tcPr>
          <w:p>
            <w:pPr>
              <w:spacing w:after="20" w:before="0"/>
            </w:pPr>
            <w:r>
              <w:rPr>
                <w:rFonts w:ascii="Calibri" w:hAnsi="Calibri" w:eastAsia="Calibri"/>
                <w:sz w:val="19"/>
                <w:highlight w:val="yellow"/>
              </w:rPr>
              <w:t>[Prénom NOM]</w:t>
            </w:r>
          </w:p>
        </w:tc>
        <w:tc>
          <w:tcPr>
            <w:tcW w:type="dxa" w:w="2551"/>
          </w:tcPr>
          <w:p>
            <w:pPr>
              <w:spacing w:after="20" w:before="0"/>
            </w:pPr>
            <w:r>
              <w:rPr>
                <w:rFonts w:ascii="Calibri" w:hAnsi="Calibri" w:eastAsia="Calibri"/>
                <w:sz w:val="19"/>
                <w:highlight w:val="yellow"/>
              </w:rPr>
              <w:t>[…]</w:t>
            </w:r>
          </w:p>
        </w:tc>
        <w:tc>
          <w:tcPr>
            <w:tcW w:type="dxa" w:w="1474"/>
          </w:tcPr>
          <w:p>
            <w:pPr>
              <w:spacing w:after="20" w:before="0"/>
            </w:pPr>
            <w:r>
              <w:rPr>
                <w:rFonts w:ascii="Calibri" w:hAnsi="Calibri" w:eastAsia="Calibri"/>
                <w:sz w:val="19"/>
                <w:highlight w:val="yellow"/>
              </w:rPr>
              <w:t>[…]</w:t>
            </w:r>
          </w:p>
        </w:tc>
        <w:tc>
          <w:tcPr>
            <w:tcW w:type="dxa" w:w="1644"/>
          </w:tcPr>
          <w:p>
            <w:pPr>
              <w:spacing w:after="20" w:before="0"/>
            </w:pPr>
            <w:r>
              <w:rPr>
                <w:rFonts w:ascii="Calibri" w:hAnsi="Calibri" w:eastAsia="Calibri"/>
                <w:sz w:val="19"/>
                <w:highlight w:val="yellow"/>
              </w:rPr>
              <w:t>[…]</w:t>
            </w:r>
          </w:p>
        </w:tc>
      </w:tr>
      <w:tr>
        <w:tc>
          <w:tcPr>
            <w:tcW w:type="dxa" w:w="3685"/>
          </w:tcPr>
          <w:p>
            <w:pPr>
              <w:spacing w:after="20" w:before="0"/>
            </w:pPr>
            <w:r>
              <w:rPr>
                <w:rFonts w:ascii="Calibri" w:hAnsi="Calibri" w:eastAsia="Calibri"/>
                <w:b/>
                <w:sz w:val="19"/>
              </w:rPr>
              <w:t>Total</w:t>
            </w:r>
          </w:p>
        </w:tc>
        <w:tc>
          <w:tcPr>
            <w:tcW w:type="dxa" w:w="2551"/>
          </w:tcPr>
          <w:p>
            <w:pPr>
              <w:spacing w:after="20" w:before="0"/>
            </w:pPr>
            <w:r>
              <w:rPr>
                <w:rFonts w:ascii="Calibri" w:hAnsi="Calibri" w:eastAsia="Calibri"/>
                <w:sz w:val="19"/>
              </w:rPr>
            </w:r>
          </w:p>
        </w:tc>
        <w:tc>
          <w:tcPr>
            <w:tcW w:type="dxa" w:w="1474"/>
          </w:tcPr>
          <w:p>
            <w:pPr>
              <w:spacing w:after="20" w:before="0"/>
            </w:pPr>
            <w:r>
              <w:rPr>
                <w:rFonts w:ascii="Calibri" w:hAnsi="Calibri" w:eastAsia="Calibri"/>
                <w:sz w:val="19"/>
                <w:highlight w:val="yellow"/>
              </w:rPr>
              <w:t>[totalité des actions]</w:t>
            </w:r>
          </w:p>
        </w:tc>
        <w:tc>
          <w:tcPr>
            <w:tcW w:type="dxa" w:w="1644"/>
          </w:tcPr>
          <w:p>
            <w:pPr>
              <w:spacing w:after="20" w:before="0"/>
            </w:pPr>
            <w:r>
              <w:rPr>
                <w:rFonts w:ascii="Calibri" w:hAnsi="Calibri" w:eastAsia="Calibri"/>
                <w:sz w:val="19"/>
                <w:highlight w:val="yellow"/>
              </w:rPr>
              <w:t>[totalité des droits de vote]</w:t>
            </w:r>
          </w:p>
        </w:tc>
      </w:tr>
    </w:tbl>
    <w:p>
      <w:pPr>
        <w:spacing w:after="120"/>
      </w:pPr>
    </w:p>
    <w:p>
      <w:pPr>
        <w:spacing w:after="120" w:before="0"/>
        <w:jc w:val="both"/>
      </w:pPr>
      <w:r>
        <w:rPr>
          <w:rFonts w:ascii="Calibri" w:hAnsi="Calibri" w:eastAsia="Calibri"/>
          <w:sz w:val="22"/>
          <w:highlight w:val="yellow"/>
        </w:rPr>
        <w:t>[Actions démembrées : faire figurer et signer l’usufruitier et le nu-propriétaire. Actions indivises : faire figurer et signer le mandataire unique de l’indivision.]</w:t>
      </w:r>
    </w:p>
    <w:p>
      <w:pPr>
        <w:spacing w:after="160" w:before="0"/>
        <w:jc w:val="both"/>
      </w:pPr>
      <w:r>
        <w:rPr>
          <w:rFonts w:ascii="Calibri" w:hAnsi="Calibri" w:eastAsia="Calibri"/>
          <w:sz w:val="22"/>
        </w:rPr>
        <w:t>représentant la totalité des actions composant le capital social et la totalité des droits de vote de la société,</w:t>
      </w:r>
    </w:p>
    <w:p>
      <w:pPr>
        <w:spacing w:after="160" w:before="0"/>
        <w:jc w:val="both"/>
      </w:pPr>
      <w:r>
        <w:rPr>
          <w:rFonts w:ascii="Calibri" w:hAnsi="Calibri" w:eastAsia="Calibri"/>
          <w:sz w:val="22"/>
        </w:rPr>
        <w:t xml:space="preserve">agissant en application de l’article </w:t>
      </w:r>
      <w:r>
        <w:rPr>
          <w:rFonts w:ascii="Calibri" w:hAnsi="Calibri" w:eastAsia="Calibri"/>
          <w:sz w:val="22"/>
          <w:highlight w:val="yellow"/>
        </w:rPr>
        <w:t>[numéro]</w:t>
      </w:r>
      <w:r>
        <w:rPr>
          <w:rFonts w:ascii="Calibri" w:hAnsi="Calibri" w:eastAsia="Calibri"/>
          <w:sz w:val="22"/>
        </w:rPr>
        <w:t xml:space="preserve"> des statuts, qui prévoit que les décisions collectives peuvent résulter du consentement de tous les associés exprimé dans un acte </w:t>
      </w:r>
      <w:r>
        <w:rPr>
          <w:rFonts w:ascii="Calibri" w:hAnsi="Calibri" w:eastAsia="Calibri"/>
          <w:sz w:val="22"/>
          <w:highlight w:val="yellow"/>
        </w:rPr>
        <w:t>[, y compris sous forme électronique]</w:t>
      </w:r>
      <w:r>
        <w:rPr>
          <w:rFonts w:ascii="Calibri" w:hAnsi="Calibri" w:eastAsia="Calibri"/>
          <w:sz w:val="22"/>
        </w:rPr>
        <w:t>,</w:t>
      </w:r>
    </w:p>
    <w:p>
      <w:pPr>
        <w:spacing w:after="80" w:before="0"/>
        <w:jc w:val="both"/>
      </w:pPr>
      <w:r>
        <w:rPr>
          <w:rFonts w:ascii="Calibri" w:hAnsi="Calibri" w:eastAsia="Calibri"/>
          <w:sz w:val="22"/>
        </w:rPr>
        <w:t>après avoir pris connaissance des documents suivants, arrêtés ou établis par le Président :</w:t>
      </w:r>
    </w:p>
    <w:p>
      <w:pPr>
        <w:spacing w:after="60" w:before="0"/>
        <w:jc w:val="both"/>
      </w:pPr>
      <w:r>
        <w:rPr>
          <w:rFonts w:ascii="Calibri" w:hAnsi="Calibri" w:eastAsia="Calibri"/>
          <w:sz w:val="22"/>
        </w:rPr>
        <w:t xml:space="preserve">☐ </w:t>
      </w:r>
      <w:r>
        <w:rPr>
          <w:rFonts w:ascii="Calibri" w:hAnsi="Calibri" w:eastAsia="Calibri"/>
          <w:sz w:val="22"/>
        </w:rPr>
        <w:t xml:space="preserve">les comptes annuels (bilan, compte de résultat et annexe) de l’exercice clos le </w:t>
      </w:r>
      <w:r>
        <w:rPr>
          <w:rFonts w:ascii="Calibri" w:hAnsi="Calibri" w:eastAsia="Calibri"/>
          <w:sz w:val="22"/>
          <w:highlight w:val="yellow"/>
        </w:rPr>
        <w:t>[date]</w:t>
      </w:r>
      <w:r>
        <w:rPr>
          <w:rFonts w:ascii="Calibri" w:hAnsi="Calibri" w:eastAsia="Calibri"/>
          <w:sz w:val="22"/>
        </w:rPr>
        <w:t xml:space="preserve"> ;</w:t>
      </w:r>
    </w:p>
    <w:p>
      <w:pPr>
        <w:spacing w:after="60" w:before="0"/>
        <w:jc w:val="both"/>
      </w:pPr>
      <w:r>
        <w:rPr>
          <w:rFonts w:ascii="Calibri" w:hAnsi="Calibri" w:eastAsia="Calibri"/>
          <w:sz w:val="22"/>
        </w:rPr>
        <w:t xml:space="preserve">☐ </w:t>
      </w:r>
      <w:r>
        <w:rPr>
          <w:rFonts w:ascii="Calibri" w:hAnsi="Calibri" w:eastAsia="Calibri"/>
          <w:sz w:val="22"/>
          <w:highlight w:val="yellow"/>
        </w:rPr>
        <w:t>[le rapport de gestion du Président, si la société en établit un ;]</w:t>
      </w:r>
    </w:p>
    <w:p>
      <w:pPr>
        <w:spacing w:after="60" w:before="0"/>
        <w:jc w:val="both"/>
      </w:pPr>
      <w:r>
        <w:rPr>
          <w:rFonts w:ascii="Calibri" w:hAnsi="Calibri" w:eastAsia="Calibri"/>
          <w:sz w:val="22"/>
        </w:rPr>
        <w:t xml:space="preserve">☐ </w:t>
      </w:r>
      <w:r>
        <w:rPr>
          <w:rFonts w:ascii="Calibri" w:hAnsi="Calibri" w:eastAsia="Calibri"/>
          <w:sz w:val="22"/>
          <w:highlight w:val="yellow"/>
        </w:rPr>
        <w:t>[le rapport du commissaire aux comptes sur les comptes annuels ;]</w:t>
      </w:r>
    </w:p>
    <w:p>
      <w:pPr>
        <w:spacing w:after="60" w:before="0"/>
        <w:jc w:val="both"/>
      </w:pPr>
      <w:r>
        <w:rPr>
          <w:rFonts w:ascii="Calibri" w:hAnsi="Calibri" w:eastAsia="Calibri"/>
          <w:sz w:val="22"/>
        </w:rPr>
        <w:t xml:space="preserve">☐ </w:t>
      </w:r>
      <w:r>
        <w:rPr>
          <w:rFonts w:ascii="Calibri" w:hAnsi="Calibri" w:eastAsia="Calibri"/>
          <w:sz w:val="22"/>
        </w:rPr>
        <w:t xml:space="preserve">le rapport sur les conventions visées à l’article L. 227-10 du code de commerce, établi par </w:t>
      </w:r>
      <w:r>
        <w:rPr>
          <w:rFonts w:ascii="Calibri" w:hAnsi="Calibri" w:eastAsia="Calibri"/>
          <w:sz w:val="22"/>
          <w:highlight w:val="yellow"/>
        </w:rPr>
        <w:t>[le commissaire aux comptes / le Président, en l’absence de commissaire aux comptes]</w:t>
      </w:r>
      <w:r>
        <w:rPr>
          <w:rFonts w:ascii="Calibri" w:hAnsi="Calibri" w:eastAsia="Calibri"/>
          <w:sz w:val="22"/>
        </w:rPr>
        <w:t xml:space="preserve"> ;</w:t>
      </w:r>
    </w:p>
    <w:p>
      <w:pPr>
        <w:spacing w:after="120" w:before="0"/>
        <w:jc w:val="both"/>
      </w:pPr>
      <w:r>
        <w:rPr>
          <w:rFonts w:ascii="Calibri" w:hAnsi="Calibri" w:eastAsia="Calibri"/>
          <w:sz w:val="22"/>
        </w:rPr>
        <w:t xml:space="preserve">☐ </w:t>
      </w:r>
      <w:r>
        <w:rPr>
          <w:rFonts w:ascii="Calibri" w:hAnsi="Calibri" w:eastAsia="Calibri"/>
          <w:sz w:val="22"/>
        </w:rPr>
        <w:t>le texte des décisions proposées,</w:t>
      </w:r>
    </w:p>
    <w:p>
      <w:pPr>
        <w:spacing w:after="160" w:before="0"/>
        <w:jc w:val="both"/>
      </w:pPr>
      <w:r>
        <w:rPr>
          <w:rFonts w:ascii="Calibri" w:hAnsi="Calibri" w:eastAsia="Calibri"/>
          <w:sz w:val="22"/>
          <w:highlight w:val="yellow"/>
        </w:rPr>
        <w:t>[Le cas échéant, selon les statuts : déclarent avoir reçu ces documents dans le délai prévu par l’article … des statuts / dans un délai leur permettant de se prononcer en connaissance de cause,]</w:t>
      </w:r>
    </w:p>
    <w:p>
      <w:pPr>
        <w:spacing w:after="160" w:before="0"/>
        <w:jc w:val="both"/>
      </w:pPr>
      <w:r>
        <w:rPr>
          <w:rFonts w:ascii="Calibri" w:hAnsi="Calibri" w:eastAsia="Calibri"/>
          <w:sz w:val="22"/>
        </w:rPr>
        <w:t xml:space="preserve">en présence de </w:t>
      </w:r>
      <w:r>
        <w:rPr>
          <w:rFonts w:ascii="Calibri" w:hAnsi="Calibri" w:eastAsia="Calibri"/>
          <w:sz w:val="22"/>
          <w:highlight w:val="yellow"/>
        </w:rPr>
        <w:t>[Prénom NOM]</w:t>
      </w:r>
      <w:r>
        <w:rPr>
          <w:rFonts w:ascii="Calibri" w:hAnsi="Calibri" w:eastAsia="Calibri"/>
          <w:sz w:val="22"/>
        </w:rPr>
        <w:t xml:space="preserve">, Président de la société, </w:t>
      </w:r>
      <w:r>
        <w:rPr>
          <w:rFonts w:ascii="Calibri" w:hAnsi="Calibri" w:eastAsia="Calibri"/>
          <w:sz w:val="22"/>
          <w:highlight w:val="yellow"/>
        </w:rPr>
        <w:t>[qui intervient au présent acte s’il n’est pas associé]</w:t>
      </w:r>
      <w:r>
        <w:rPr>
          <w:rFonts w:ascii="Calibri" w:hAnsi="Calibri" w:eastAsia="Calibri"/>
          <w:sz w:val="22"/>
        </w:rPr>
        <w:t>,</w:t>
      </w:r>
    </w:p>
    <w:p>
      <w:pPr>
        <w:spacing w:after="240" w:before="0"/>
        <w:jc w:val="both"/>
      </w:pPr>
      <w:r>
        <w:rPr>
          <w:rFonts w:ascii="Calibri" w:hAnsi="Calibri" w:eastAsia="Calibri"/>
          <w:sz w:val="22"/>
        </w:rPr>
        <w:t>ont pris, à l’unanimité, les décisions suivantes :</w:t>
      </w:r>
    </w:p>
    <w:p>
      <w:pPr>
        <w:spacing w:after="120" w:before="0"/>
      </w:pPr>
      <w:r>
        <w:rPr>
          <w:rFonts w:ascii="Calibri" w:hAnsi="Calibri" w:eastAsia="Calibri"/>
          <w:b/>
          <w:sz w:val="22"/>
        </w:rPr>
        <w:t>PREMIÈRE DÉCISION — Approbation des comptes</w:t>
      </w:r>
    </w:p>
    <w:p>
      <w:pPr>
        <w:spacing w:after="160" w:before="0"/>
        <w:jc w:val="both"/>
      </w:pPr>
      <w:r>
        <w:rPr>
          <w:rFonts w:ascii="Calibri" w:hAnsi="Calibri" w:eastAsia="Calibri"/>
          <w:sz w:val="22"/>
        </w:rPr>
        <w:t xml:space="preserve">Les associés approuvent les comptes annuels de l’exercice clos le </w:t>
      </w:r>
      <w:r>
        <w:rPr>
          <w:rFonts w:ascii="Calibri" w:hAnsi="Calibri" w:eastAsia="Calibri"/>
          <w:sz w:val="22"/>
          <w:highlight w:val="yellow"/>
        </w:rPr>
        <w:t>[date]</w:t>
      </w:r>
      <w:r>
        <w:rPr>
          <w:rFonts w:ascii="Calibri" w:hAnsi="Calibri" w:eastAsia="Calibri"/>
          <w:sz w:val="22"/>
        </w:rPr>
        <w:t xml:space="preserve"> (bilan, compte de résultat et annexe) tels qu’ils ont été arrêtés par le Président, faisant apparaître </w:t>
      </w:r>
      <w:r>
        <w:rPr>
          <w:rFonts w:ascii="Calibri" w:hAnsi="Calibri" w:eastAsia="Calibri"/>
          <w:sz w:val="22"/>
          <w:highlight w:val="yellow"/>
        </w:rPr>
        <w:t>[un bénéfice / une perte]</w:t>
      </w:r>
      <w:r>
        <w:rPr>
          <w:rFonts w:ascii="Calibri" w:hAnsi="Calibri" w:eastAsia="Calibri"/>
          <w:sz w:val="22"/>
        </w:rPr>
        <w:t xml:space="preserve"> de </w:t>
      </w:r>
      <w:r>
        <w:rPr>
          <w:rFonts w:ascii="Calibri" w:hAnsi="Calibri" w:eastAsia="Calibri"/>
          <w:sz w:val="22"/>
          <w:highlight w:val="yellow"/>
        </w:rPr>
        <w:t>[montant]</w:t>
      </w:r>
      <w:r>
        <w:rPr>
          <w:rFonts w:ascii="Calibri" w:hAnsi="Calibri" w:eastAsia="Calibri"/>
          <w:sz w:val="22"/>
        </w:rPr>
        <w:t xml:space="preserve"> €, ainsi que les opérations traduites dans ces comptes </w:t>
      </w:r>
      <w:r>
        <w:rPr>
          <w:rFonts w:ascii="Calibri" w:hAnsi="Calibri" w:eastAsia="Calibri"/>
          <w:sz w:val="22"/>
          <w:highlight w:val="yellow"/>
        </w:rPr>
        <w:t>[ou résumées dans le rapport de gestion]</w:t>
      </w:r>
      <w:r>
        <w:rPr>
          <w:rFonts w:ascii="Calibri" w:hAnsi="Calibri" w:eastAsia="Calibri"/>
          <w:sz w:val="22"/>
        </w:rPr>
        <w:t>.</w:t>
      </w:r>
    </w:p>
    <w:p>
      <w:pPr>
        <w:spacing w:after="240" w:before="0"/>
      </w:pPr>
      <w:r>
        <w:rPr>
          <w:rFonts w:ascii="Calibri" w:hAnsi="Calibri" w:eastAsia="Calibri"/>
          <w:b/>
          <w:sz w:val="22"/>
        </w:rPr>
        <w:t>Cette décision est adoptée à l’unanimité des associés.</w:t>
      </w:r>
    </w:p>
    <w:p>
      <w:pPr>
        <w:spacing w:after="120" w:before="0"/>
      </w:pPr>
      <w:r>
        <w:rPr>
          <w:rFonts w:ascii="Calibri" w:hAnsi="Calibri" w:eastAsia="Calibri"/>
          <w:b/>
          <w:sz w:val="22"/>
        </w:rPr>
        <w:t>DEUXIÈME DÉCISION — Dépenses et charges non déductibles</w:t>
      </w:r>
    </w:p>
    <w:p>
      <w:pPr>
        <w:spacing w:after="160" w:before="0"/>
        <w:jc w:val="both"/>
      </w:pPr>
      <w:r>
        <w:rPr>
          <w:rFonts w:ascii="Calibri" w:hAnsi="Calibri" w:eastAsia="Calibri"/>
          <w:sz w:val="22"/>
          <w:highlight w:val="yellow"/>
        </w:rPr>
        <w:t>[Le cas échéant :]</w:t>
      </w:r>
      <w:r>
        <w:rPr>
          <w:rFonts w:ascii="Calibri" w:hAnsi="Calibri" w:eastAsia="Calibri"/>
          <w:sz w:val="22"/>
        </w:rPr>
        <w:t xml:space="preserve"> En application de l’article 223 quater du code général des impôts, les associés approuvent le montant global des dépenses et charges visées à l’article 39, 4 du même code, soit </w:t>
      </w:r>
      <w:r>
        <w:rPr>
          <w:rFonts w:ascii="Calibri" w:hAnsi="Calibri" w:eastAsia="Calibri"/>
          <w:sz w:val="22"/>
          <w:highlight w:val="yellow"/>
        </w:rPr>
        <w:t>[montant]</w:t>
      </w:r>
      <w:r>
        <w:rPr>
          <w:rFonts w:ascii="Calibri" w:hAnsi="Calibri" w:eastAsia="Calibri"/>
          <w:sz w:val="22"/>
        </w:rPr>
        <w:t xml:space="preserve"> €, ainsi que l’impôt supporté en raison de ces dépenses et charges, soit </w:t>
      </w:r>
      <w:r>
        <w:rPr>
          <w:rFonts w:ascii="Calibri" w:hAnsi="Calibri" w:eastAsia="Calibri"/>
          <w:sz w:val="22"/>
          <w:highlight w:val="yellow"/>
        </w:rPr>
        <w:t>[montant]</w:t>
      </w:r>
      <w:r>
        <w:rPr>
          <w:rFonts w:ascii="Calibri" w:hAnsi="Calibri" w:eastAsia="Calibri"/>
          <w:sz w:val="22"/>
        </w:rPr>
        <w:t xml:space="preserve"> €. </w:t>
      </w:r>
      <w:r>
        <w:rPr>
          <w:rFonts w:ascii="Calibri" w:hAnsi="Calibri" w:eastAsia="Calibri"/>
          <w:sz w:val="22"/>
          <w:highlight w:val="yellow"/>
        </w:rPr>
        <w:t>[Sinon, supprimer cette décision et renuméroter.]</w:t>
      </w:r>
    </w:p>
    <w:p>
      <w:pPr>
        <w:spacing w:after="240" w:before="0"/>
      </w:pPr>
      <w:r>
        <w:rPr>
          <w:rFonts w:ascii="Calibri" w:hAnsi="Calibri" w:eastAsia="Calibri"/>
          <w:b/>
          <w:sz w:val="22"/>
        </w:rPr>
        <w:t>Cette décision est adoptée à l’unanimité des associés.</w:t>
      </w:r>
    </w:p>
    <w:p>
      <w:pPr>
        <w:spacing w:after="120" w:before="0"/>
      </w:pPr>
      <w:r>
        <w:rPr>
          <w:rFonts w:ascii="Calibri" w:hAnsi="Calibri" w:eastAsia="Calibri"/>
          <w:b/>
          <w:sz w:val="22"/>
        </w:rPr>
        <w:t>TROISIÈME DÉCISION — Affectation du résultat</w:t>
      </w:r>
    </w:p>
    <w:p>
      <w:pPr>
        <w:spacing w:after="80" w:before="0"/>
        <w:jc w:val="both"/>
      </w:pPr>
      <w:r>
        <w:rPr>
          <w:rFonts w:ascii="Calibri" w:hAnsi="Calibri" w:eastAsia="Calibri"/>
          <w:sz w:val="22"/>
        </w:rPr>
        <w:t xml:space="preserve">Les associés décident d’affecter </w:t>
      </w:r>
      <w:r>
        <w:rPr>
          <w:rFonts w:ascii="Calibri" w:hAnsi="Calibri" w:eastAsia="Calibri"/>
          <w:sz w:val="22"/>
          <w:highlight w:val="yellow"/>
        </w:rPr>
        <w:t>[le bénéfice / la perte]</w:t>
      </w:r>
      <w:r>
        <w:rPr>
          <w:rFonts w:ascii="Calibri" w:hAnsi="Calibri" w:eastAsia="Calibri"/>
          <w:sz w:val="22"/>
        </w:rPr>
        <w:t xml:space="preserve"> de l’exercice, soit </w:t>
      </w:r>
      <w:r>
        <w:rPr>
          <w:rFonts w:ascii="Calibri" w:hAnsi="Calibri" w:eastAsia="Calibri"/>
          <w:sz w:val="22"/>
          <w:highlight w:val="yellow"/>
        </w:rPr>
        <w:t>[montant]</w:t>
      </w:r>
      <w:r>
        <w:rPr>
          <w:rFonts w:ascii="Calibri" w:hAnsi="Calibri" w:eastAsia="Calibri"/>
          <w:sz w:val="22"/>
        </w:rPr>
        <w:t xml:space="preserve"> €, de la manière suivante :</w:t>
      </w:r>
    </w:p>
    <w:tbl>
      <w:tblPr>
        <w:tblStyle w:val="TableGrid"/>
        <w:tblW w:type="auto" w:w="0"/>
        <w:jc w:val="center"/>
        <w:tblLayout w:type="fixed"/>
        <w:tblLook w:firstColumn="1" w:firstRow="1" w:lastColumn="0" w:lastRow="0" w:noHBand="0" w:noVBand="1" w:val="04A0"/>
      </w:tblPr>
      <w:tblGrid>
        <w:gridCol w:w="6803"/>
        <w:gridCol w:w="2551"/>
      </w:tblGrid>
      <w:tr>
        <w:tc>
          <w:tcPr>
            <w:tcW w:type="dxa" w:w="6803"/>
            <w:shd w:val="clear" w:color="auto" w:fill="EEF1F4"/>
          </w:tcPr>
          <w:p>
            <w:pPr>
              <w:spacing w:after="20" w:before="0"/>
            </w:pPr>
            <w:r>
              <w:rPr>
                <w:rFonts w:ascii="Calibri" w:hAnsi="Calibri" w:eastAsia="Calibri"/>
                <w:b/>
                <w:sz w:val="19"/>
              </w:rPr>
              <w:t>Poste</w:t>
            </w:r>
          </w:p>
        </w:tc>
        <w:tc>
          <w:tcPr>
            <w:tcW w:type="dxa" w:w="2551"/>
            <w:shd w:val="clear" w:color="auto" w:fill="EEF1F4"/>
          </w:tcPr>
          <w:p>
            <w:pPr>
              <w:spacing w:after="20" w:before="0"/>
            </w:pPr>
            <w:r>
              <w:rPr>
                <w:rFonts w:ascii="Calibri" w:hAnsi="Calibri" w:eastAsia="Calibri"/>
                <w:b/>
                <w:sz w:val="19"/>
              </w:rPr>
              <w:t>Montant</w:t>
            </w:r>
          </w:p>
        </w:tc>
      </w:tr>
      <w:tr>
        <w:tc>
          <w:tcPr>
            <w:tcW w:type="dxa" w:w="6803"/>
          </w:tcPr>
          <w:p>
            <w:pPr>
              <w:spacing w:after="20" w:before="0"/>
            </w:pPr>
            <w:r>
              <w:rPr>
                <w:rFonts w:ascii="Calibri" w:hAnsi="Calibri" w:eastAsia="Calibri"/>
                <w:sz w:val="19"/>
              </w:rPr>
              <w:t xml:space="preserve">Résultat de l’exercice </w:t>
            </w:r>
            <w:r>
              <w:rPr>
                <w:rFonts w:ascii="Calibri" w:hAnsi="Calibri" w:eastAsia="Calibri"/>
                <w:sz w:val="19"/>
                <w:highlight w:val="yellow"/>
              </w:rPr>
              <w:t>[bénéfice / perte]</w:t>
            </w:r>
          </w:p>
        </w:tc>
        <w:tc>
          <w:tcPr>
            <w:tcW w:type="dxa" w:w="2551"/>
          </w:tcPr>
          <w:p>
            <w:pPr>
              <w:spacing w:after="20" w:before="0"/>
            </w:pPr>
            <w:r>
              <w:rPr>
                <w:rFonts w:ascii="Calibri" w:hAnsi="Calibri" w:eastAsia="Calibri"/>
                <w:sz w:val="19"/>
                <w:highlight w:val="yellow"/>
              </w:rPr>
              <w:t>[…] €</w:t>
            </w:r>
          </w:p>
        </w:tc>
      </w:tr>
      <w:tr>
        <w:tc>
          <w:tcPr>
            <w:tcW w:type="dxa" w:w="6803"/>
          </w:tcPr>
          <w:p>
            <w:pPr>
              <w:spacing w:after="20" w:before="0"/>
            </w:pPr>
            <w:r>
              <w:rPr>
                <w:rFonts w:ascii="Calibri" w:hAnsi="Calibri" w:eastAsia="Calibri"/>
                <w:sz w:val="19"/>
              </w:rPr>
              <w:t xml:space="preserve">Report à nouveau antérieur </w:t>
            </w:r>
            <w:r>
              <w:rPr>
                <w:rFonts w:ascii="Calibri" w:hAnsi="Calibri" w:eastAsia="Calibri"/>
                <w:sz w:val="19"/>
                <w:highlight w:val="yellow"/>
              </w:rPr>
              <w:t>[créditeur / débiteur]</w:t>
            </w:r>
          </w:p>
        </w:tc>
        <w:tc>
          <w:tcPr>
            <w:tcW w:type="dxa" w:w="2551"/>
          </w:tcPr>
          <w:p>
            <w:pPr>
              <w:spacing w:after="20" w:before="0"/>
            </w:pPr>
            <w:r>
              <w:rPr>
                <w:rFonts w:ascii="Calibri" w:hAnsi="Calibri" w:eastAsia="Calibri"/>
                <w:sz w:val="19"/>
                <w:highlight w:val="yellow"/>
              </w:rPr>
              <w:t>[…] €</w:t>
            </w:r>
          </w:p>
        </w:tc>
      </w:tr>
      <w:tr>
        <w:tc>
          <w:tcPr>
            <w:tcW w:type="dxa" w:w="6803"/>
          </w:tcPr>
          <w:p>
            <w:pPr>
              <w:spacing w:after="20" w:before="0"/>
            </w:pPr>
            <w:r>
              <w:rPr>
                <w:rFonts w:ascii="Calibri" w:hAnsi="Calibri" w:eastAsia="Calibri"/>
                <w:b/>
                <w:sz w:val="19"/>
              </w:rPr>
              <w:t>Total à affecter</w:t>
            </w:r>
          </w:p>
        </w:tc>
        <w:tc>
          <w:tcPr>
            <w:tcW w:type="dxa" w:w="2551"/>
          </w:tcPr>
          <w:p>
            <w:pPr>
              <w:spacing w:after="20" w:before="0"/>
            </w:pPr>
            <w:r>
              <w:rPr>
                <w:rFonts w:ascii="Calibri" w:hAnsi="Calibri" w:eastAsia="Calibri"/>
                <w:sz w:val="19"/>
                <w:highlight w:val="yellow"/>
              </w:rPr>
              <w:t>[…] €</w:t>
            </w:r>
          </w:p>
        </w:tc>
      </w:tr>
      <w:tr>
        <w:tc>
          <w:tcPr>
            <w:tcW w:type="dxa" w:w="6803"/>
          </w:tcPr>
          <w:p>
            <w:pPr>
              <w:spacing w:after="20" w:before="0"/>
            </w:pPr>
            <w:r>
              <w:rPr>
                <w:rFonts w:ascii="Calibri" w:hAnsi="Calibri" w:eastAsia="Calibri"/>
                <w:sz w:val="19"/>
              </w:rPr>
              <w:t xml:space="preserve">Dotation à la réserve légale </w:t>
            </w:r>
            <w:r>
              <w:rPr>
                <w:rFonts w:ascii="Calibri" w:hAnsi="Calibri" w:eastAsia="Calibri"/>
                <w:sz w:val="19"/>
                <w:highlight w:val="yellow"/>
              </w:rPr>
              <w:t>[un vingtième au moins du bénéfice, diminué le cas échéant des pertes antérieures, tant que la réserve n’atteint pas le dixième du capital]</w:t>
            </w:r>
          </w:p>
        </w:tc>
        <w:tc>
          <w:tcPr>
            <w:tcW w:type="dxa" w:w="2551"/>
          </w:tcPr>
          <w:p>
            <w:pPr>
              <w:spacing w:after="20" w:before="0"/>
            </w:pPr>
            <w:r>
              <w:rPr>
                <w:rFonts w:ascii="Calibri" w:hAnsi="Calibri" w:eastAsia="Calibri"/>
                <w:sz w:val="19"/>
                <w:highlight w:val="yellow"/>
              </w:rPr>
              <w:t>[…] €</w:t>
            </w:r>
          </w:p>
        </w:tc>
      </w:tr>
      <w:tr>
        <w:tc>
          <w:tcPr>
            <w:tcW w:type="dxa" w:w="6803"/>
          </w:tcPr>
          <w:p>
            <w:pPr>
              <w:spacing w:after="20" w:before="0"/>
            </w:pPr>
            <w:r>
              <w:rPr>
                <w:rFonts w:ascii="Calibri" w:hAnsi="Calibri" w:eastAsia="Calibri"/>
                <w:sz w:val="19"/>
              </w:rPr>
              <w:t xml:space="preserve">Autres réserves </w:t>
            </w:r>
            <w:r>
              <w:rPr>
                <w:rFonts w:ascii="Calibri" w:hAnsi="Calibri" w:eastAsia="Calibri"/>
                <w:sz w:val="19"/>
                <w:highlight w:val="yellow"/>
              </w:rPr>
              <w:t>[statutaires / facultatives]</w:t>
            </w:r>
          </w:p>
        </w:tc>
        <w:tc>
          <w:tcPr>
            <w:tcW w:type="dxa" w:w="2551"/>
          </w:tcPr>
          <w:p>
            <w:pPr>
              <w:spacing w:after="20" w:before="0"/>
            </w:pPr>
            <w:r>
              <w:rPr>
                <w:rFonts w:ascii="Calibri" w:hAnsi="Calibri" w:eastAsia="Calibri"/>
                <w:sz w:val="19"/>
                <w:highlight w:val="yellow"/>
              </w:rPr>
              <w:t>[…] €</w:t>
            </w:r>
          </w:p>
        </w:tc>
      </w:tr>
      <w:tr>
        <w:tc>
          <w:tcPr>
            <w:tcW w:type="dxa" w:w="6803"/>
          </w:tcPr>
          <w:p>
            <w:pPr>
              <w:spacing w:after="20" w:before="0"/>
            </w:pPr>
            <w:r>
              <w:rPr>
                <w:rFonts w:ascii="Calibri" w:hAnsi="Calibri" w:eastAsia="Calibri"/>
                <w:sz w:val="19"/>
              </w:rPr>
              <w:t>Dividendes</w:t>
            </w:r>
          </w:p>
        </w:tc>
        <w:tc>
          <w:tcPr>
            <w:tcW w:type="dxa" w:w="2551"/>
          </w:tcPr>
          <w:p>
            <w:pPr>
              <w:spacing w:after="20" w:before="0"/>
            </w:pPr>
            <w:r>
              <w:rPr>
                <w:rFonts w:ascii="Calibri" w:hAnsi="Calibri" w:eastAsia="Calibri"/>
                <w:sz w:val="19"/>
                <w:highlight w:val="yellow"/>
              </w:rPr>
              <w:t>[…] €</w:t>
            </w:r>
          </w:p>
        </w:tc>
      </w:tr>
      <w:tr>
        <w:tc>
          <w:tcPr>
            <w:tcW w:type="dxa" w:w="6803"/>
          </w:tcPr>
          <w:p>
            <w:pPr>
              <w:spacing w:after="20" w:before="0"/>
            </w:pPr>
            <w:r>
              <w:rPr>
                <w:rFonts w:ascii="Calibri" w:hAnsi="Calibri" w:eastAsia="Calibri"/>
                <w:b/>
                <w:sz w:val="19"/>
              </w:rPr>
              <w:t>Nouveau solde du report à nouveau</w:t>
            </w:r>
          </w:p>
        </w:tc>
        <w:tc>
          <w:tcPr>
            <w:tcW w:type="dxa" w:w="2551"/>
          </w:tcPr>
          <w:p>
            <w:pPr>
              <w:spacing w:after="20" w:before="0"/>
            </w:pPr>
            <w:r>
              <w:rPr>
                <w:rFonts w:ascii="Calibri" w:hAnsi="Calibri" w:eastAsia="Calibri"/>
                <w:sz w:val="19"/>
                <w:highlight w:val="yellow"/>
              </w:rPr>
              <w:t>[…] €</w:t>
            </w:r>
          </w:p>
        </w:tc>
      </w:tr>
    </w:tbl>
    <w:p>
      <w:pPr>
        <w:spacing w:after="120"/>
      </w:pPr>
    </w:p>
    <w:p>
      <w:pPr>
        <w:spacing w:after="160" w:before="0"/>
        <w:jc w:val="both"/>
      </w:pPr>
      <w:r>
        <w:rPr>
          <w:rFonts w:ascii="Calibri" w:hAnsi="Calibri" w:eastAsia="Calibri"/>
          <w:sz w:val="22"/>
          <w:highlight w:val="yellow"/>
        </w:rPr>
        <w:t>[En cas de distribution :]</w:t>
      </w:r>
      <w:r>
        <w:rPr>
          <w:rFonts w:ascii="Calibri" w:hAnsi="Calibri" w:eastAsia="Calibri"/>
          <w:sz w:val="22"/>
        </w:rPr>
        <w:t xml:space="preserve"> Le dividende revenant à chaque action est fixé à </w:t>
      </w:r>
      <w:r>
        <w:rPr>
          <w:rFonts w:ascii="Calibri" w:hAnsi="Calibri" w:eastAsia="Calibri"/>
          <w:sz w:val="22"/>
          <w:highlight w:val="yellow"/>
        </w:rPr>
        <w:t>[montant]</w:t>
      </w:r>
      <w:r>
        <w:rPr>
          <w:rFonts w:ascii="Calibri" w:hAnsi="Calibri" w:eastAsia="Calibri"/>
          <w:sz w:val="22"/>
        </w:rPr>
        <w:t xml:space="preserve"> €. Il sera mis en paiement le </w:t>
      </w:r>
      <w:r>
        <w:rPr>
          <w:rFonts w:ascii="Calibri" w:hAnsi="Calibri" w:eastAsia="Calibri"/>
          <w:sz w:val="22"/>
          <w:highlight w:val="yellow"/>
        </w:rPr>
        <w:t>[date — au plus tard neuf mois après la clôture de l’exercice, sauf prolongation judiciaire]</w:t>
      </w:r>
      <w:r>
        <w:rPr>
          <w:rFonts w:ascii="Calibri" w:hAnsi="Calibri" w:eastAsia="Calibri"/>
          <w:sz w:val="22"/>
        </w:rPr>
        <w:t>.</w:t>
      </w:r>
    </w:p>
    <w:p>
      <w:pPr>
        <w:spacing w:after="160" w:before="0"/>
        <w:jc w:val="both"/>
      </w:pPr>
      <w:r>
        <w:rPr>
          <w:rFonts w:ascii="Calibri" w:hAnsi="Calibri" w:eastAsia="Calibri"/>
          <w:sz w:val="22"/>
          <w:highlight w:val="yellow"/>
        </w:rPr>
        <w:t>[En cas de distribution prélevée sur des réserves : indiquer expressément le poste de réserves concerné.]</w:t>
      </w:r>
      <w:r>
        <w:rPr>
          <w:rFonts w:ascii="Calibri" w:hAnsi="Calibri" w:eastAsia="Calibri"/>
          <w:sz w:val="22"/>
        </w:rPr>
        <w:t xml:space="preserve"> </w:t>
      </w:r>
      <w:r>
        <w:rPr>
          <w:rFonts w:ascii="Calibri" w:hAnsi="Calibri" w:eastAsia="Calibri"/>
          <w:sz w:val="22"/>
          <w:highlight w:val="yellow"/>
        </w:rPr>
        <w:t>[En cas de perte : affectation au compte « report à nouveau », porté à … €.]</w:t>
      </w:r>
    </w:p>
    <w:p>
      <w:pPr>
        <w:spacing w:after="80" w:before="0"/>
        <w:jc w:val="both"/>
      </w:pPr>
      <w:r>
        <w:rPr>
          <w:rFonts w:ascii="Calibri" w:hAnsi="Calibri" w:eastAsia="Calibri"/>
          <w:sz w:val="22"/>
        </w:rPr>
        <w:t xml:space="preserve">Conformément à l’article 243 bis du code général des impôts, les associés prennent acte que les dividendes mis en distribution au titre des trois exercices précédents ont été les suivants </w:t>
      </w:r>
      <w:r>
        <w:rPr>
          <w:rFonts w:ascii="Calibri" w:hAnsi="Calibri" w:eastAsia="Calibri"/>
          <w:sz w:val="22"/>
          <w:highlight w:val="yellow"/>
        </w:rPr>
        <w:t>[ou : qu’aucun dividende n’a été mis en distribution au titre des trois exercices précédents]</w:t>
      </w:r>
      <w:r>
        <w:rPr>
          <w:rFonts w:ascii="Calibri" w:hAnsi="Calibri" w:eastAsia="Calibri"/>
          <w:sz w:val="22"/>
        </w:rPr>
        <w:t xml:space="preserve"> :</w:t>
      </w:r>
    </w:p>
    <w:tbl>
      <w:tblPr>
        <w:tblStyle w:val="TableGrid"/>
        <w:tblW w:type="auto" w:w="0"/>
        <w:jc w:val="center"/>
        <w:tblLayout w:type="fixed"/>
        <w:tblLook w:firstColumn="1" w:firstRow="1" w:lastColumn="0" w:lastRow="0" w:noHBand="0" w:noVBand="1" w:val="04A0"/>
      </w:tblPr>
      <w:tblGrid>
        <w:gridCol w:w="1814"/>
        <w:gridCol w:w="2381"/>
        <w:gridCol w:w="3005"/>
        <w:gridCol w:w="2154"/>
      </w:tblGrid>
      <w:tr>
        <w:tc>
          <w:tcPr>
            <w:tcW w:type="dxa" w:w="1814"/>
            <w:shd w:val="clear" w:color="auto" w:fill="EEF1F4"/>
          </w:tcPr>
          <w:p>
            <w:pPr>
              <w:spacing w:after="20" w:before="0"/>
            </w:pPr>
            <w:r>
              <w:rPr>
                <w:rFonts w:ascii="Calibri" w:hAnsi="Calibri" w:eastAsia="Calibri"/>
                <w:b/>
                <w:sz w:val="18"/>
              </w:rPr>
              <w:t>Exercice clos le</w:t>
            </w:r>
          </w:p>
        </w:tc>
        <w:tc>
          <w:tcPr>
            <w:tcW w:type="dxa" w:w="2381"/>
            <w:shd w:val="clear" w:color="auto" w:fill="EEF1F4"/>
          </w:tcPr>
          <w:p>
            <w:pPr>
              <w:spacing w:after="20" w:before="0"/>
            </w:pPr>
            <w:r>
              <w:rPr>
                <w:rFonts w:ascii="Calibri" w:hAnsi="Calibri" w:eastAsia="Calibri"/>
                <w:b/>
                <w:sz w:val="18"/>
              </w:rPr>
              <w:t>Dividendes mis en distribution</w:t>
            </w:r>
          </w:p>
        </w:tc>
        <w:tc>
          <w:tcPr>
            <w:tcW w:type="dxa" w:w="3005"/>
            <w:shd w:val="clear" w:color="auto" w:fill="EEF1F4"/>
          </w:tcPr>
          <w:p>
            <w:pPr>
              <w:spacing w:after="20" w:before="0"/>
            </w:pPr>
            <w:r>
              <w:rPr>
                <w:rFonts w:ascii="Calibri" w:hAnsi="Calibri" w:eastAsia="Calibri"/>
                <w:b/>
                <w:sz w:val="18"/>
              </w:rPr>
              <w:t>Revenus éligibles à l’abattement de 40 % (CGI, art. 158, 3, 2°)</w:t>
            </w:r>
          </w:p>
        </w:tc>
        <w:tc>
          <w:tcPr>
            <w:tcW w:type="dxa" w:w="2154"/>
            <w:shd w:val="clear" w:color="auto" w:fill="EEF1F4"/>
          </w:tcPr>
          <w:p>
            <w:pPr>
              <w:spacing w:after="20" w:before="0"/>
            </w:pPr>
            <w:r>
              <w:rPr>
                <w:rFonts w:ascii="Calibri" w:hAnsi="Calibri" w:eastAsia="Calibri"/>
                <w:b/>
                <w:sz w:val="18"/>
              </w:rPr>
              <w:t>Revenus non éligibles</w:t>
            </w:r>
          </w:p>
        </w:tc>
      </w:tr>
      <w:tr>
        <w:tc>
          <w:tcPr>
            <w:tcW w:type="dxa" w:w="1814"/>
          </w:tcPr>
          <w:p>
            <w:pPr>
              <w:spacing w:after="20" w:before="0"/>
            </w:pPr>
            <w:r>
              <w:rPr>
                <w:rFonts w:ascii="Calibri" w:hAnsi="Calibri" w:eastAsia="Calibri"/>
                <w:sz w:val="18"/>
                <w:highlight w:val="yellow"/>
              </w:rPr>
              <w:t>[N-1]</w:t>
            </w:r>
          </w:p>
        </w:tc>
        <w:tc>
          <w:tcPr>
            <w:tcW w:type="dxa" w:w="2381"/>
          </w:tcPr>
          <w:p>
            <w:pPr>
              <w:spacing w:after="20" w:before="0"/>
            </w:pPr>
            <w:r>
              <w:rPr>
                <w:rFonts w:ascii="Calibri" w:hAnsi="Calibri" w:eastAsia="Calibri"/>
                <w:sz w:val="18"/>
                <w:highlight w:val="yellow"/>
              </w:rPr>
              <w:t>[…] €</w:t>
            </w:r>
          </w:p>
        </w:tc>
        <w:tc>
          <w:tcPr>
            <w:tcW w:type="dxa" w:w="3005"/>
          </w:tcPr>
          <w:p>
            <w:pPr>
              <w:spacing w:after="20" w:before="0"/>
            </w:pPr>
            <w:r>
              <w:rPr>
                <w:rFonts w:ascii="Calibri" w:hAnsi="Calibri" w:eastAsia="Calibri"/>
                <w:sz w:val="18"/>
                <w:highlight w:val="yellow"/>
              </w:rPr>
              <w:t>[…] €</w:t>
            </w:r>
          </w:p>
        </w:tc>
        <w:tc>
          <w:tcPr>
            <w:tcW w:type="dxa" w:w="2154"/>
          </w:tcPr>
          <w:p>
            <w:pPr>
              <w:spacing w:after="20" w:before="0"/>
            </w:pPr>
            <w:r>
              <w:rPr>
                <w:rFonts w:ascii="Calibri" w:hAnsi="Calibri" w:eastAsia="Calibri"/>
                <w:sz w:val="18"/>
                <w:highlight w:val="yellow"/>
              </w:rPr>
              <w:t>[…] €</w:t>
            </w:r>
          </w:p>
        </w:tc>
      </w:tr>
      <w:tr>
        <w:tc>
          <w:tcPr>
            <w:tcW w:type="dxa" w:w="1814"/>
          </w:tcPr>
          <w:p>
            <w:pPr>
              <w:spacing w:after="20" w:before="0"/>
            </w:pPr>
            <w:r>
              <w:rPr>
                <w:rFonts w:ascii="Calibri" w:hAnsi="Calibri" w:eastAsia="Calibri"/>
                <w:sz w:val="18"/>
                <w:highlight w:val="yellow"/>
              </w:rPr>
              <w:t>[N-2]</w:t>
            </w:r>
          </w:p>
        </w:tc>
        <w:tc>
          <w:tcPr>
            <w:tcW w:type="dxa" w:w="2381"/>
          </w:tcPr>
          <w:p>
            <w:pPr>
              <w:spacing w:after="20" w:before="0"/>
            </w:pPr>
            <w:r>
              <w:rPr>
                <w:rFonts w:ascii="Calibri" w:hAnsi="Calibri" w:eastAsia="Calibri"/>
                <w:sz w:val="18"/>
                <w:highlight w:val="yellow"/>
              </w:rPr>
              <w:t>[…] €</w:t>
            </w:r>
          </w:p>
        </w:tc>
        <w:tc>
          <w:tcPr>
            <w:tcW w:type="dxa" w:w="3005"/>
          </w:tcPr>
          <w:p>
            <w:pPr>
              <w:spacing w:after="20" w:before="0"/>
            </w:pPr>
            <w:r>
              <w:rPr>
                <w:rFonts w:ascii="Calibri" w:hAnsi="Calibri" w:eastAsia="Calibri"/>
                <w:sz w:val="18"/>
                <w:highlight w:val="yellow"/>
              </w:rPr>
              <w:t>[…] €</w:t>
            </w:r>
          </w:p>
        </w:tc>
        <w:tc>
          <w:tcPr>
            <w:tcW w:type="dxa" w:w="2154"/>
          </w:tcPr>
          <w:p>
            <w:pPr>
              <w:spacing w:after="20" w:before="0"/>
            </w:pPr>
            <w:r>
              <w:rPr>
                <w:rFonts w:ascii="Calibri" w:hAnsi="Calibri" w:eastAsia="Calibri"/>
                <w:sz w:val="18"/>
                <w:highlight w:val="yellow"/>
              </w:rPr>
              <w:t>[…] €</w:t>
            </w:r>
          </w:p>
        </w:tc>
      </w:tr>
      <w:tr>
        <w:tc>
          <w:tcPr>
            <w:tcW w:type="dxa" w:w="1814"/>
          </w:tcPr>
          <w:p>
            <w:pPr>
              <w:spacing w:after="20" w:before="0"/>
            </w:pPr>
            <w:r>
              <w:rPr>
                <w:rFonts w:ascii="Calibri" w:hAnsi="Calibri" w:eastAsia="Calibri"/>
                <w:sz w:val="18"/>
                <w:highlight w:val="yellow"/>
              </w:rPr>
              <w:t>[N-3]</w:t>
            </w:r>
          </w:p>
        </w:tc>
        <w:tc>
          <w:tcPr>
            <w:tcW w:type="dxa" w:w="2381"/>
          </w:tcPr>
          <w:p>
            <w:pPr>
              <w:spacing w:after="20" w:before="0"/>
            </w:pPr>
            <w:r>
              <w:rPr>
                <w:rFonts w:ascii="Calibri" w:hAnsi="Calibri" w:eastAsia="Calibri"/>
                <w:sz w:val="18"/>
                <w:highlight w:val="yellow"/>
              </w:rPr>
              <w:t>[…] €</w:t>
            </w:r>
          </w:p>
        </w:tc>
        <w:tc>
          <w:tcPr>
            <w:tcW w:type="dxa" w:w="3005"/>
          </w:tcPr>
          <w:p>
            <w:pPr>
              <w:spacing w:after="20" w:before="0"/>
            </w:pPr>
            <w:r>
              <w:rPr>
                <w:rFonts w:ascii="Calibri" w:hAnsi="Calibri" w:eastAsia="Calibri"/>
                <w:sz w:val="18"/>
                <w:highlight w:val="yellow"/>
              </w:rPr>
              <w:t>[…] €</w:t>
            </w:r>
          </w:p>
        </w:tc>
        <w:tc>
          <w:tcPr>
            <w:tcW w:type="dxa" w:w="2154"/>
          </w:tcPr>
          <w:p>
            <w:pPr>
              <w:spacing w:after="20" w:before="0"/>
            </w:pPr>
            <w:r>
              <w:rPr>
                <w:rFonts w:ascii="Calibri" w:hAnsi="Calibri" w:eastAsia="Calibri"/>
                <w:sz w:val="18"/>
                <w:highlight w:val="yellow"/>
              </w:rPr>
              <w:t>[…] €</w:t>
            </w:r>
          </w:p>
        </w:tc>
      </w:tr>
    </w:tbl>
    <w:p>
      <w:pPr>
        <w:spacing w:after="40"/>
      </w:pPr>
    </w:p>
    <w:p>
      <w:pPr>
        <w:spacing w:after="160" w:before="0"/>
      </w:pPr>
      <w:r>
        <w:rPr>
          <w:rFonts w:ascii="Calibri" w:hAnsi="Calibri" w:eastAsia="Calibri"/>
          <w:sz w:val="19"/>
          <w:highlight w:val="yellow"/>
        </w:rPr>
        <w:t>[Si la société a plusieurs catégories d’actions : un tableau par catégorie (CGI, art. 243 bis).]</w:t>
      </w:r>
    </w:p>
    <w:p>
      <w:pPr>
        <w:spacing w:after="240" w:before="0"/>
      </w:pPr>
      <w:r>
        <w:rPr>
          <w:rFonts w:ascii="Calibri" w:hAnsi="Calibri" w:eastAsia="Calibri"/>
          <w:b/>
          <w:sz w:val="22"/>
        </w:rPr>
        <w:t>Cette décision est adoptée à l’unanimité des associés.</w:t>
      </w:r>
    </w:p>
    <w:p>
      <w:pPr>
        <w:spacing w:after="120" w:before="0"/>
      </w:pPr>
      <w:r>
        <w:rPr>
          <w:rFonts w:ascii="Calibri" w:hAnsi="Calibri" w:eastAsia="Calibri"/>
          <w:b/>
          <w:sz w:val="22"/>
        </w:rPr>
        <w:t>QUATRIÈME DÉCISION — Conventions visées à l’article L. 227-10 du code de commerce</w:t>
      </w:r>
    </w:p>
    <w:p>
      <w:pPr>
        <w:spacing w:after="160" w:before="0"/>
        <w:jc w:val="both"/>
      </w:pPr>
      <w:r>
        <w:rPr>
          <w:rFonts w:ascii="Calibri" w:hAnsi="Calibri" w:eastAsia="Calibri"/>
          <w:sz w:val="22"/>
        </w:rPr>
        <w:t xml:space="preserve">Les associés, statuant sur le rapport </w:t>
      </w:r>
      <w:r>
        <w:rPr>
          <w:rFonts w:ascii="Calibri" w:hAnsi="Calibri" w:eastAsia="Calibri"/>
          <w:sz w:val="22"/>
          <w:highlight w:val="yellow"/>
        </w:rPr>
        <w:t>[du commissaire aux comptes / du Président]</w:t>
      </w:r>
      <w:r>
        <w:rPr>
          <w:rFonts w:ascii="Calibri" w:hAnsi="Calibri" w:eastAsia="Calibri"/>
          <w:sz w:val="22"/>
        </w:rPr>
        <w:t xml:space="preserve"> relatif aux conventions intervenues, directement ou par personne interposée, entre la société et son Président, l’un de ses dirigeants, l’un de ses associés disposant d’une fraction des droits de vote supérieure à 10 % ou, s’il s’agit d’une société associée, la société la contrôlant, approuvent </w:t>
      </w:r>
      <w:r>
        <w:rPr>
          <w:rFonts w:ascii="Calibri" w:hAnsi="Calibri" w:eastAsia="Calibri"/>
          <w:sz w:val="22"/>
          <w:highlight w:val="yellow"/>
        </w:rPr>
        <w:t>[la convention / chacune des conventions]</w:t>
      </w:r>
      <w:r>
        <w:rPr>
          <w:rFonts w:ascii="Calibri" w:hAnsi="Calibri" w:eastAsia="Calibri"/>
          <w:sz w:val="22"/>
        </w:rPr>
        <w:t xml:space="preserve"> qui y </w:t>
      </w:r>
      <w:r>
        <w:rPr>
          <w:rFonts w:ascii="Calibri" w:hAnsi="Calibri" w:eastAsia="Calibri"/>
          <w:sz w:val="22"/>
          <w:highlight w:val="yellow"/>
        </w:rPr>
        <w:t>[est mentionnée / sont mentionnées]</w:t>
      </w:r>
      <w:r>
        <w:rPr>
          <w:rFonts w:ascii="Calibri" w:hAnsi="Calibri" w:eastAsia="Calibri"/>
          <w:sz w:val="22"/>
        </w:rPr>
        <w:t xml:space="preserve"> : </w:t>
      </w:r>
      <w:r>
        <w:rPr>
          <w:rFonts w:ascii="Calibri" w:hAnsi="Calibri" w:eastAsia="Calibri"/>
          <w:sz w:val="22"/>
          <w:highlight w:val="yellow"/>
        </w:rPr>
        <w:t>[objet, date, personne intéressée]</w:t>
      </w:r>
      <w:r>
        <w:rPr>
          <w:rFonts w:ascii="Calibri" w:hAnsi="Calibri" w:eastAsia="Calibri"/>
          <w:sz w:val="22"/>
        </w:rPr>
        <w:t>.</w:t>
      </w:r>
    </w:p>
    <w:p>
      <w:pPr>
        <w:spacing w:after="160" w:before="0"/>
        <w:jc w:val="both"/>
      </w:pPr>
      <w:r>
        <w:rPr>
          <w:rFonts w:ascii="Calibri" w:hAnsi="Calibri" w:eastAsia="Calibri"/>
          <w:sz w:val="22"/>
          <w:highlight w:val="yellow"/>
        </w:rPr>
        <w:t>[Si les statuts prévoient que la personne intéressée ne prend pas part au vote : le reproduire ici et adapter la formule d’unanimité.]</w:t>
      </w:r>
      <w:r>
        <w:rPr>
          <w:rFonts w:ascii="Calibri" w:hAnsi="Calibri" w:eastAsia="Calibri"/>
          <w:sz w:val="22"/>
        </w:rPr>
        <w:t xml:space="preserve"> </w:t>
      </w:r>
      <w:r>
        <w:rPr>
          <w:rFonts w:ascii="Calibri" w:hAnsi="Calibri" w:eastAsia="Calibri"/>
          <w:sz w:val="22"/>
          <w:highlight w:val="yellow"/>
        </w:rPr>
        <w:t>[Ou : les associés prennent acte qu’aucune convention de cette nature n’a été conclue ou poursuivie au cours de l’exercice.]</w:t>
      </w:r>
    </w:p>
    <w:p>
      <w:pPr>
        <w:spacing w:after="240" w:before="0"/>
      </w:pPr>
      <w:r>
        <w:rPr>
          <w:rFonts w:ascii="Calibri" w:hAnsi="Calibri" w:eastAsia="Calibri"/>
          <w:b/>
          <w:sz w:val="22"/>
        </w:rPr>
        <w:t>Cette décision est adoptée à l’unanimité des associés.</w:t>
      </w:r>
    </w:p>
    <w:p>
      <w:pPr>
        <w:spacing w:after="120" w:before="0"/>
      </w:pPr>
      <w:r>
        <w:rPr>
          <w:rFonts w:ascii="Calibri" w:hAnsi="Calibri" w:eastAsia="Calibri"/>
          <w:b/>
          <w:sz w:val="22"/>
          <w:highlight w:val="yellow"/>
        </w:rPr>
        <w:t>[CINQUIÈME DÉCISION — Quitus]</w:t>
      </w:r>
    </w:p>
    <w:p>
      <w:pPr>
        <w:spacing w:after="160" w:before="0"/>
        <w:jc w:val="both"/>
      </w:pPr>
      <w:r>
        <w:rPr>
          <w:rFonts w:ascii="Calibri" w:hAnsi="Calibri" w:eastAsia="Calibri"/>
          <w:sz w:val="22"/>
          <w:highlight w:val="yellow"/>
        </w:rPr>
        <w:t>[Facultatif ; portée limitée, voir les notes pratiques :]</w:t>
      </w:r>
      <w:r>
        <w:rPr>
          <w:rFonts w:ascii="Calibri" w:hAnsi="Calibri" w:eastAsia="Calibri"/>
          <w:sz w:val="22"/>
        </w:rPr>
        <w:t xml:space="preserve"> Les associés donnent quitus au Président </w:t>
      </w:r>
      <w:r>
        <w:rPr>
          <w:rFonts w:ascii="Calibri" w:hAnsi="Calibri" w:eastAsia="Calibri"/>
          <w:sz w:val="22"/>
          <w:highlight w:val="yellow"/>
        </w:rPr>
        <w:t>[et au(x) directeur(s) général(aux)]</w:t>
      </w:r>
      <w:r>
        <w:rPr>
          <w:rFonts w:ascii="Calibri" w:hAnsi="Calibri" w:eastAsia="Calibri"/>
          <w:sz w:val="22"/>
        </w:rPr>
        <w:t xml:space="preserve"> de l’exécution de </w:t>
      </w:r>
      <w:r>
        <w:rPr>
          <w:rFonts w:ascii="Calibri" w:hAnsi="Calibri" w:eastAsia="Calibri"/>
          <w:sz w:val="22"/>
          <w:highlight w:val="yellow"/>
        </w:rPr>
        <w:t>[son / leur]</w:t>
      </w:r>
      <w:r>
        <w:rPr>
          <w:rFonts w:ascii="Calibri" w:hAnsi="Calibri" w:eastAsia="Calibri"/>
          <w:sz w:val="22"/>
        </w:rPr>
        <w:t xml:space="preserve"> mandat pour l’exercice écoulé.</w:t>
      </w:r>
    </w:p>
    <w:p>
      <w:pPr>
        <w:spacing w:after="240" w:before="0"/>
      </w:pPr>
      <w:r>
        <w:rPr>
          <w:rFonts w:ascii="Calibri" w:hAnsi="Calibri" w:eastAsia="Calibri"/>
          <w:b/>
          <w:sz w:val="22"/>
        </w:rPr>
        <w:t>Cette décision est adoptée à l’unanimité des associés.</w:t>
      </w:r>
    </w:p>
    <w:p>
      <w:pPr>
        <w:spacing w:after="120" w:before="0"/>
      </w:pPr>
      <w:r>
        <w:rPr>
          <w:rFonts w:ascii="Calibri" w:hAnsi="Calibri" w:eastAsia="Calibri"/>
          <w:b/>
          <w:sz w:val="22"/>
        </w:rPr>
        <w:t>SIXIÈME DÉCISION — Pouvoirs</w:t>
      </w:r>
    </w:p>
    <w:p>
      <w:pPr>
        <w:spacing w:after="160" w:before="0"/>
        <w:jc w:val="both"/>
      </w:pPr>
      <w:r>
        <w:rPr>
          <w:rFonts w:ascii="Calibri" w:hAnsi="Calibri" w:eastAsia="Calibri"/>
          <w:sz w:val="22"/>
        </w:rPr>
        <w:t>Les associés confèrent tous pouvoirs au Président ainsi qu’au porteur d’un original, d’une copie ou d’un extrait du présent procès-verbal pour effectuer le dépôt des comptes annuels et des documents qui doivent les accompagner, et pour accomplir toutes autres formalités.</w:t>
      </w:r>
    </w:p>
    <w:p>
      <w:pPr>
        <w:spacing w:after="240" w:before="0"/>
      </w:pPr>
      <w:r>
        <w:rPr>
          <w:rFonts w:ascii="Calibri" w:hAnsi="Calibri" w:eastAsia="Calibri"/>
          <w:b/>
          <w:sz w:val="22"/>
        </w:rPr>
        <w:t>Cette décision est adoptée à l’unanimité des associés.</w:t>
      </w:r>
    </w:p>
    <w:p>
      <w:pPr>
        <w:spacing w:after="120" w:before="0"/>
      </w:pPr>
      <w:r>
        <w:rPr>
          <w:rFonts w:ascii="Calibri" w:hAnsi="Calibri" w:eastAsia="Calibri"/>
          <w:b/>
          <w:sz w:val="22"/>
          <w:highlight w:val="yellow"/>
        </w:rPr>
        <w:t>[Mention éventuelle — capitaux propres inférieurs à la moitié du capital social]</w:t>
      </w:r>
    </w:p>
    <w:p>
      <w:pPr>
        <w:spacing w:after="240" w:before="0"/>
        <w:jc w:val="both"/>
      </w:pPr>
      <w:r>
        <w:rPr>
          <w:rFonts w:ascii="Calibri" w:hAnsi="Calibri" w:eastAsia="Calibri"/>
          <w:sz w:val="22"/>
          <w:highlight w:val="yellow"/>
        </w:rPr>
        <w:t>[Les associés prennent acte que, du fait des pertes constatées dans les comptes approuvés, les capitaux propres sont devenus inférieurs à la moitié du capital social ; le Président les consultera, dans les quatre mois qui suivent la présente approbation, afin qu’ils décident s’il y a lieu à dissolution anticipée de la société (C. com., art. L. 225-248, applicable à la SAS par renvoi de l’art. L. 227-1).]</w:t>
      </w:r>
    </w:p>
    <w:p>
      <w:pPr>
        <w:spacing w:after="160" w:before="0"/>
        <w:jc w:val="both"/>
      </w:pPr>
      <w:r>
        <w:rPr>
          <w:rFonts w:ascii="Calibri" w:hAnsi="Calibri" w:eastAsia="Calibri"/>
          <w:sz w:val="22"/>
        </w:rPr>
        <w:t xml:space="preserve">Le présent procès-verbal, constatant des décisions adoptées à l’unanimité, est signé par tous les associés </w:t>
      </w:r>
      <w:r>
        <w:rPr>
          <w:rFonts w:ascii="Calibri" w:hAnsi="Calibri" w:eastAsia="Calibri"/>
          <w:sz w:val="22"/>
          <w:highlight w:val="yellow"/>
        </w:rPr>
        <w:t>[et par le Président]</w:t>
      </w:r>
      <w:r>
        <w:rPr>
          <w:rFonts w:ascii="Calibri" w:hAnsi="Calibri" w:eastAsia="Calibri"/>
          <w:sz w:val="22"/>
        </w:rPr>
        <w:t xml:space="preserve">. Il sera consigné dans le registre des décisions de la société </w:t>
      </w:r>
      <w:r>
        <w:rPr>
          <w:rFonts w:ascii="Calibri" w:hAnsi="Calibri" w:eastAsia="Calibri"/>
          <w:sz w:val="22"/>
          <w:highlight w:val="yellow"/>
        </w:rPr>
        <w:t>[tenu sous forme électronique, le cas échéant]</w:t>
      </w:r>
      <w:r>
        <w:rPr>
          <w:rFonts w:ascii="Calibri" w:hAnsi="Calibri" w:eastAsia="Calibri"/>
          <w:sz w:val="22"/>
        </w:rPr>
        <w:t>.</w:t>
      </w:r>
    </w:p>
    <w:p>
      <w:pPr>
        <w:spacing w:after="200" w:before="0"/>
        <w:jc w:val="both"/>
      </w:pPr>
      <w:r>
        <w:rPr>
          <w:rFonts w:ascii="Calibri" w:hAnsi="Calibri" w:eastAsia="Calibri"/>
          <w:sz w:val="22"/>
        </w:rPr>
        <w:t xml:space="preserve">Fait à </w:t>
      </w:r>
      <w:r>
        <w:rPr>
          <w:rFonts w:ascii="Calibri" w:hAnsi="Calibri" w:eastAsia="Calibri"/>
          <w:sz w:val="22"/>
          <w:highlight w:val="yellow"/>
        </w:rPr>
        <w:t>[lieu]</w:t>
      </w:r>
      <w:r>
        <w:rPr>
          <w:rFonts w:ascii="Calibri" w:hAnsi="Calibri" w:eastAsia="Calibri"/>
          <w:sz w:val="22"/>
        </w:rPr>
        <w:t xml:space="preserve">, le </w:t>
      </w:r>
      <w:r>
        <w:rPr>
          <w:rFonts w:ascii="Calibri" w:hAnsi="Calibri" w:eastAsia="Calibri"/>
          <w:sz w:val="22"/>
          <w:highlight w:val="yellow"/>
        </w:rPr>
        <w:t>[date]</w:t>
      </w:r>
      <w:r>
        <w:rPr>
          <w:rFonts w:ascii="Calibri" w:hAnsi="Calibri" w:eastAsia="Calibri"/>
          <w:sz w:val="22"/>
        </w:rPr>
        <w:t xml:space="preserve">, en </w:t>
      </w:r>
      <w:r>
        <w:rPr>
          <w:rFonts w:ascii="Calibri" w:hAnsi="Calibri" w:eastAsia="Calibri"/>
          <w:sz w:val="22"/>
          <w:highlight w:val="yellow"/>
        </w:rPr>
        <w:t>[un exemplaire original / version signée électroniquement]</w:t>
      </w:r>
      <w:r>
        <w:rPr>
          <w:rFonts w:ascii="Calibri" w:hAnsi="Calibri" w:eastAsia="Calibri"/>
          <w:sz w:val="22"/>
        </w:rPr>
        <w:t>.</w:t>
      </w:r>
    </w:p>
    <w:tbl>
      <w:tblPr>
        <w:tblStyle w:val="TableGrid"/>
        <w:tblW w:type="auto" w:w="0"/>
        <w:jc w:val="center"/>
        <w:tblLayout w:type="fixed"/>
        <w:tblLook w:firstColumn="1" w:firstRow="1" w:lastColumn="0" w:lastRow="0" w:noHBand="0" w:noVBand="1" w:val="04A0"/>
      </w:tblPr>
      <w:tblGrid>
        <w:gridCol w:w="5102"/>
        <w:gridCol w:w="4252"/>
      </w:tblGrid>
      <w:tr>
        <w:tc>
          <w:tcPr>
            <w:tcW w:type="dxa" w:w="5102"/>
            <w:shd w:val="clear" w:color="auto" w:fill="EEF1F4"/>
          </w:tcPr>
          <w:p>
            <w:pPr>
              <w:spacing w:after="20" w:before="0"/>
            </w:pPr>
            <w:r>
              <w:rPr>
                <w:rFonts w:ascii="Calibri" w:hAnsi="Calibri" w:eastAsia="Calibri"/>
                <w:b/>
                <w:sz w:val="19"/>
              </w:rPr>
              <w:t>Associé</w:t>
            </w:r>
          </w:p>
        </w:tc>
        <w:tc>
          <w:tcPr>
            <w:tcW w:type="dxa" w:w="4252"/>
            <w:shd w:val="clear" w:color="auto" w:fill="EEF1F4"/>
          </w:tcPr>
          <w:p>
            <w:pPr>
              <w:spacing w:after="20" w:before="0"/>
            </w:pPr>
            <w:r>
              <w:rPr>
                <w:rFonts w:ascii="Calibri" w:hAnsi="Calibri" w:eastAsia="Calibri"/>
                <w:b/>
                <w:sz w:val="19"/>
              </w:rPr>
              <w:t>Signature</w:t>
            </w:r>
          </w:p>
        </w:tc>
      </w:tr>
      <w:tr>
        <w:tc>
          <w:tcPr>
            <w:tcW w:type="dxa" w:w="5102"/>
          </w:tcPr>
          <w:p>
            <w:pPr>
              <w:spacing w:after="20" w:before="0"/>
            </w:pPr>
            <w:r>
              <w:rPr>
                <w:rFonts w:ascii="Calibri" w:hAnsi="Calibri" w:eastAsia="Calibri"/>
                <w:sz w:val="19"/>
                <w:highlight w:val="yellow"/>
              </w:rPr>
              <w:t>[Prénom NOM / société …, représentée par …]</w:t>
            </w:r>
            <w:r>
              <w:rPr>
                <w:rFonts w:ascii="Calibri" w:hAnsi="Calibri" w:eastAsia="Calibri"/>
                <w:sz w:val="19"/>
              </w:rPr>
              <w:t xml:space="preserve"> </w:t>
            </w:r>
            <w:r>
              <w:rPr>
                <w:rFonts w:ascii="Calibri" w:hAnsi="Calibri" w:eastAsia="Calibri"/>
                <w:sz w:val="19"/>
                <w:highlight w:val="yellow"/>
              </w:rPr>
              <w:t>[qualité : pleine propriété / usufruitier / nu-propriétaire / mandataire de l’indivision]</w:t>
            </w:r>
          </w:p>
        </w:tc>
        <w:tc>
          <w:tcPr>
            <w:tcW w:type="dxa" w:w="4252"/>
          </w:tcPr>
          <w:p>
            <w:pPr>
              <w:spacing w:after="20" w:before="0"/>
            </w:pPr>
            <w:r>
              <w:rPr>
                <w:rFonts w:ascii="Calibri" w:hAnsi="Calibri" w:eastAsia="Calibri"/>
                <w:sz w:val="19"/>
              </w:rPr>
              <w:br/>
              <w:br/>
            </w:r>
          </w:p>
        </w:tc>
      </w:tr>
      <w:tr>
        <w:tc>
          <w:tcPr>
            <w:tcW w:type="dxa" w:w="5102"/>
          </w:tcPr>
          <w:p>
            <w:pPr>
              <w:spacing w:after="20" w:before="0"/>
            </w:pPr>
            <w:r>
              <w:rPr>
                <w:rFonts w:ascii="Calibri" w:hAnsi="Calibri" w:eastAsia="Calibri"/>
                <w:sz w:val="19"/>
                <w:highlight w:val="yellow"/>
              </w:rPr>
              <w:t>[Prénom NOM]</w:t>
            </w:r>
          </w:p>
        </w:tc>
        <w:tc>
          <w:tcPr>
            <w:tcW w:type="dxa" w:w="4252"/>
          </w:tcPr>
          <w:p>
            <w:pPr>
              <w:spacing w:after="20" w:before="0"/>
            </w:pPr>
            <w:r>
              <w:rPr>
                <w:rFonts w:ascii="Calibri" w:hAnsi="Calibri" w:eastAsia="Calibri"/>
                <w:sz w:val="19"/>
              </w:rPr>
              <w:br/>
              <w:br/>
            </w:r>
          </w:p>
        </w:tc>
      </w:tr>
      <w:tr>
        <w:tc>
          <w:tcPr>
            <w:tcW w:type="dxa" w:w="5102"/>
          </w:tcPr>
          <w:p>
            <w:pPr>
              <w:spacing w:after="20" w:before="0"/>
            </w:pPr>
            <w:r>
              <w:rPr>
                <w:rFonts w:ascii="Calibri" w:hAnsi="Calibri" w:eastAsia="Calibri"/>
                <w:sz w:val="19"/>
                <w:highlight w:val="yellow"/>
              </w:rPr>
              <w:t>[Prénom NOM]</w:t>
            </w:r>
          </w:p>
        </w:tc>
        <w:tc>
          <w:tcPr>
            <w:tcW w:type="dxa" w:w="4252"/>
          </w:tcPr>
          <w:p>
            <w:pPr>
              <w:spacing w:after="20" w:before="0"/>
            </w:pPr>
            <w:r>
              <w:rPr>
                <w:rFonts w:ascii="Calibri" w:hAnsi="Calibri" w:eastAsia="Calibri"/>
                <w:sz w:val="19"/>
              </w:rPr>
              <w:br/>
              <w:br/>
            </w:r>
          </w:p>
        </w:tc>
      </w:tr>
      <w:tr>
        <w:tc>
          <w:tcPr>
            <w:tcW w:type="dxa" w:w="5102"/>
          </w:tcPr>
          <w:p>
            <w:pPr>
              <w:spacing w:after="20" w:before="0"/>
            </w:pPr>
            <w:r>
              <w:rPr>
                <w:rFonts w:ascii="Calibri" w:hAnsi="Calibri" w:eastAsia="Calibri"/>
                <w:sz w:val="19"/>
              </w:rPr>
              <w:t xml:space="preserve">Le Président </w:t>
            </w:r>
            <w:r>
              <w:rPr>
                <w:rFonts w:ascii="Calibri" w:hAnsi="Calibri" w:eastAsia="Calibri"/>
                <w:sz w:val="19"/>
                <w:highlight w:val="yellow"/>
              </w:rPr>
              <w:t>[s’il n’est pas associé]</w:t>
            </w:r>
          </w:p>
        </w:tc>
        <w:tc>
          <w:tcPr>
            <w:tcW w:type="dxa" w:w="4252"/>
          </w:tcPr>
          <w:p>
            <w:pPr>
              <w:spacing w:after="20" w:before="0"/>
            </w:pPr>
            <w:r>
              <w:rPr>
                <w:rFonts w:ascii="Calibri" w:hAnsi="Calibri" w:eastAsia="Calibri"/>
                <w:sz w:val="19"/>
              </w:rPr>
              <w:br/>
              <w:br/>
            </w:r>
          </w:p>
        </w:tc>
      </w:tr>
    </w:tbl>
    <w:p>
      <w:pPr>
        <w:spacing w:after="120"/>
      </w:pP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SAS : les statuts déterminent les décisions prises collectivement et leurs formes (C. com., art. L. 227-9). L’acte unanime n’est possible que si les statuts le prévoient ; à défaut, suivez la procédure statutaire (assemblée ou consultation écrite). L’approbation des comptes et l’affectation des bénéfices relèvent obligatoirement des associés et ne peuvent être confiées au Président (art. L. 227-9, al. 2).</w:t>
      </w:r>
    </w:p>
    <w:p>
      <w:pPr>
        <w:spacing w:after="100" w:before="0"/>
        <w:jc w:val="both"/>
      </w:pPr>
      <w:r>
        <w:rPr>
          <w:rFonts w:ascii="Calibri" w:hAnsi="Calibri" w:eastAsia="Calibri"/>
          <w:color w:val="374151"/>
          <w:sz w:val="20"/>
        </w:rPr>
        <w:t>• Délai : pour la SAS à plusieurs associés, le délai d’approbation des comptes est fixé par les statuts (le délai de six mois est le plus pratiqué, selon entreprendre.service-public.fr). Pour la SASU, l’associé unique approuve les comptes dans les six mois de la clôture (art. L. 227-9, al. 3) : utilisez alors le modèle de décisions de l’associé unique.</w:t>
      </w:r>
    </w:p>
    <w:p>
      <w:pPr>
        <w:spacing w:after="100" w:before="0"/>
        <w:jc w:val="both"/>
      </w:pPr>
      <w:r>
        <w:rPr>
          <w:rFonts w:ascii="Calibri" w:hAnsi="Calibri" w:eastAsia="Calibri"/>
          <w:color w:val="374151"/>
          <w:sz w:val="20"/>
        </w:rPr>
        <w:t>• Conventions : le rapport est présenté par le commissaire aux comptes ou, s’il n’en a pas été désigné, par le Président ; les associés statuent sur ce rapport ; les conventions non approuvées produisent néanmoins leurs effets, la personne intéressée et éventuellement les dirigeants en supportant les conséquences dommageables pour la société (art. L. 227-10). Les opérations courantes conclues à des conditions normales sont exclues (art. L. 227-11). À la différence du texte applicable aux SARL, l’article L. 227-10 ne règle pas le vote de l’associé intéressé : appliquez les statuts.</w:t>
      </w:r>
    </w:p>
    <w:p>
      <w:pPr>
        <w:spacing w:after="100" w:before="0"/>
        <w:jc w:val="both"/>
      </w:pPr>
      <w:r>
        <w:rPr>
          <w:rFonts w:ascii="Calibri" w:hAnsi="Calibri" w:eastAsia="Calibri"/>
          <w:color w:val="374151"/>
          <w:sz w:val="20"/>
        </w:rPr>
        <w:t>• Affectation : réserve légale d’un vingtième au moins du bénéfice tant qu’elle n’atteint pas le dixième du capital (art. L. 232-10) ; respect du bénéfice distribuable et indication des postes de réserves prélevés (art. L. 232-11) ; mise en paiement des dividendes dans les neuf mois de la clôture, sauf prolongation judiciaire (art. L. 232-13). Pour les actions démembrées, le vote sur l’affectation des bénéfices appartient à l’usufruitier, sauf clause contraire des statuts (C. civ., art. 1844).</w:t>
      </w:r>
    </w:p>
    <w:p>
      <w:pPr>
        <w:spacing w:after="100" w:before="0"/>
        <w:jc w:val="both"/>
      </w:pPr>
      <w:r>
        <w:rPr>
          <w:rFonts w:ascii="Calibri" w:hAnsi="Calibri" w:eastAsia="Calibri"/>
          <w:color w:val="374151"/>
          <w:sz w:val="20"/>
        </w:rPr>
        <w:t>• Actions démembrées ou indivises : le nu-propriétaire et l’usufruitier ont l’un et l’autre le droit de participer aux décisions collectives, et les statuts ne peuvent y déroger ; les actions indivises sont représentées par un mandataire unique, sauf clause contraire des statuts (C. civ., art. 1844, al. 2 à 4). Pour un acte qui exprime le consentement de tous les associés, faites donc signer l’usufruitier et le nu-propriétaire, et le mandataire unique de l’indivision.</w:t>
      </w:r>
    </w:p>
    <w:p>
      <w:pPr>
        <w:spacing w:after="100" w:before="0"/>
        <w:jc w:val="both"/>
      </w:pPr>
      <w:r>
        <w:rPr>
          <w:rFonts w:ascii="Calibri" w:hAnsi="Calibri" w:eastAsia="Calibri"/>
          <w:color w:val="374151"/>
          <w:sz w:val="20"/>
        </w:rPr>
        <w:t>• Quitus : sa portée est limitée. Les règles de responsabilité des administrateurs de société anonyme s’appliquent au Président et aux dirigeants de la SAS (C. com., art. L. 227-8), dont celle selon laquelle aucune décision de l’assemblée ne peut avoir pour effet d’éteindre une action en responsabilité pour faute commise dans l’accomplissement du mandat (art. L. 225-253).</w:t>
      </w:r>
    </w:p>
    <w:p>
      <w:pPr>
        <w:spacing w:after="100" w:before="0"/>
        <w:jc w:val="both"/>
      </w:pPr>
      <w:r>
        <w:rPr>
          <w:rFonts w:ascii="Calibri" w:hAnsi="Calibri" w:eastAsia="Calibri"/>
          <w:color w:val="374151"/>
          <w:sz w:val="20"/>
        </w:rPr>
        <w:t>• Fiscalité : mention des dividendes des trois exercices précédents (CGI, art. 243 bis) et, pour les sociétés soumises à l’impôt sur les sociétés, approbation des dépenses visées à l’article 39, 4 du CGI (CGI, art. 223 quater). Le traitement fiscal et social des dividendes chez chaque associé relève de sa situation personnelle.</w:t>
      </w:r>
    </w:p>
    <w:p>
      <w:pPr>
        <w:spacing w:after="100" w:before="0"/>
        <w:jc w:val="both"/>
      </w:pPr>
      <w:r>
        <w:rPr>
          <w:rFonts w:ascii="Calibri" w:hAnsi="Calibri" w:eastAsia="Calibri"/>
          <w:color w:val="374151"/>
          <w:sz w:val="20"/>
        </w:rPr>
        <w:t>• Registre : lorsque les statuts prévoient un registre électronique sans en préciser les modalités, les procès-verbaux sont signés au moyen d’une signature électronique au moins avancée et datés par horodatage (art. R. 227-1-1).</w:t>
      </w:r>
    </w:p>
    <w:p>
      <w:pPr>
        <w:spacing w:after="100" w:before="0"/>
        <w:jc w:val="both"/>
      </w:pPr>
      <w:r>
        <w:rPr>
          <w:rFonts w:ascii="Calibri" w:hAnsi="Calibri" w:eastAsia="Calibri"/>
          <w:color w:val="374151"/>
          <w:sz w:val="20"/>
        </w:rPr>
        <w:t>• Dépôt : dans le mois de l’approbation (deux mois en cas de dépôt par voie électronique), la société dépose au greffe les comptes annuels, le cas échéant le rapport du commissaire aux comptes sur les comptes annuels (et les documents relatifs aux comptes consolidés), la proposition d’affectation du résultat et la décision d’affectation ; en cas de refus d’approbation, une copie de la décision est déposée dans le même délai. Le rapport de gestion n’a pas à être déposé, sauf pour les sociétés que l’article vise expressément, mais doit être tenu à la disposition de toute personne qui en fait la demande (art. L. 232-23). Les micro et petites entreprises peuvent, sous les conditions de l’article L. 232-25, demander la confidentialité de leurs comptes ou de leur compte de résultat. Pour un siège situé dans le Bas-Rhin, le Haut-Rhin ou la Moselle, le dépôt sur place ou par courrier se fait au greffe du tribunal judiciaire.</w:t>
      </w:r>
    </w:p>
    <w:p>
      <w:pPr>
        <w:spacing w:after="100" w:before="0"/>
        <w:jc w:val="both"/>
      </w:pPr>
      <w:r>
        <w:rPr>
          <w:rFonts w:ascii="Calibri" w:hAnsi="Calibri" w:eastAsia="Calibri"/>
          <w:color w:val="374151"/>
          <w:sz w:val="20"/>
        </w:rPr>
        <w:t>• Capitaux propres inférieurs à la moitié du capital : l’article L. 225-248 (consultation des associés sur la dissolution dans les quatre mois qui suivent l’approbation des comptes, puis, à défaut de dissolution, reconstitution des capitaux propres ou réduction du capital dans les délais légaux) s’applique à la SAS, l’article L. 227-1 ne l’excluant pas ; les attributions du conseil d’administration y sont exercées par le Président ou par les dirigeants que les statuts désignent. Faites-vous accompagner.</w:t>
      </w:r>
    </w:p>
    <w:p>
      <w:pPr>
        <w:spacing w:after="100" w:before="0"/>
        <w:jc w:val="both"/>
      </w:pPr>
      <w:r>
        <w:rPr>
          <w:rFonts w:ascii="Calibri" w:hAnsi="Calibri" w:eastAsia="Calibri"/>
          <w:color w:val="374151"/>
          <w:sz w:val="20"/>
        </w:rPr>
        <w:t>• Supprimez l’en-tête « Modèle fourni à titre informatif… », les surlignages, les options inutiles et la présente page avant signature. Conservez l’original signé dans les registres de la société.</w:t>
      </w:r>
    </w:p>
    <w:p>
      <w:pPr>
        <w:spacing w:after="100" w:before="0"/>
        <w:jc w:val="both"/>
      </w:pPr>
      <w:r>
        <w:rPr>
          <w:rFonts w:ascii="Calibri" w:hAnsi="Calibri" w:eastAsia="Calibri"/>
          <w:color w:val="374151"/>
          <w:sz w:val="20"/>
        </w:rPr>
        <w:t>• Ce modèle est une base de travail : faites relire le document par un avocat avant signature, en particulier en cas de désaccord entre associés, d’opération inhabituelle ou de doute sur une clause des statuts.</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Procès-verbal de décisions unanimes des associés de SAS (approbation des comptes)</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