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jc w:val="center"/>
      </w:pPr>
      <w:r>
        <w:rPr>
          <w:rFonts w:ascii="Calibri" w:hAnsi="Calibri" w:eastAsia="Calibri"/>
          <w:b/>
          <w:sz w:val="24"/>
        </w:rPr>
        <w:t xml:space="preserve">SOCIÉTÉ </w:t>
      </w:r>
      <w:r>
        <w:rPr>
          <w:rFonts w:ascii="Calibri" w:hAnsi="Calibri" w:eastAsia="Calibri"/>
          <w:sz w:val="24"/>
          <w:highlight w:val="yellow"/>
        </w:rPr>
        <w:t>[DÉNOMINATION]</w:t>
      </w:r>
    </w:p>
    <w:p>
      <w:pPr>
        <w:spacing w:after="40" w:before="0"/>
        <w:jc w:val="center"/>
      </w:pPr>
      <w:r>
        <w:rPr>
          <w:rFonts w:ascii="Calibri" w:hAnsi="Calibri" w:eastAsia="Calibri"/>
          <w:sz w:val="22"/>
          <w:highlight w:val="yellow"/>
        </w:rPr>
        <w:t>[SASU / SAS / EURL / …]</w:t>
      </w:r>
      <w:r>
        <w:rPr>
          <w:rFonts w:ascii="Calibri" w:hAnsi="Calibri" w:eastAsia="Calibri"/>
          <w:sz w:val="22"/>
        </w:rPr>
        <w:t xml:space="preserve"> au capital de </w:t>
      </w:r>
      <w:r>
        <w:rPr>
          <w:rFonts w:ascii="Calibri" w:hAnsi="Calibri" w:eastAsia="Calibri"/>
          <w:sz w:val="22"/>
          <w:highlight w:val="yellow"/>
        </w:rPr>
        <w:t>[montant]</w:t>
      </w:r>
      <w:r>
        <w:rPr>
          <w:rFonts w:ascii="Calibri" w:hAnsi="Calibri" w:eastAsia="Calibri"/>
          <w:sz w:val="22"/>
        </w:rPr>
        <w:t xml:space="preserve"> €</w:t>
      </w:r>
    </w:p>
    <w:p>
      <w:pPr>
        <w:spacing w:after="40" w:before="0"/>
        <w:jc w:val="center"/>
      </w:pPr>
      <w:r>
        <w:rPr>
          <w:rFonts w:ascii="Calibri" w:hAnsi="Calibri" w:eastAsia="Calibri"/>
          <w:sz w:val="22"/>
        </w:rPr>
        <w:t xml:space="preserve">Siège social : </w:t>
      </w:r>
      <w:r>
        <w:rPr>
          <w:rFonts w:ascii="Calibri" w:hAnsi="Calibri" w:eastAsia="Calibri"/>
          <w:sz w:val="22"/>
          <w:highlight w:val="yellow"/>
        </w:rPr>
        <w:t>[adresse]</w:t>
      </w:r>
    </w:p>
    <w:p>
      <w:pPr>
        <w:spacing w:after="240" w:before="0"/>
        <w:jc w:val="center"/>
      </w:pPr>
      <w:r>
        <w:rPr>
          <w:rFonts w:ascii="Calibri" w:hAnsi="Calibri" w:eastAsia="Calibri"/>
          <w:sz w:val="22"/>
          <w:highlight w:val="yellow"/>
        </w:rPr>
        <w:t>[RCS Ville]</w:t>
      </w:r>
      <w:r>
        <w:rPr>
          <w:rFonts w:ascii="Calibri" w:hAnsi="Calibri" w:eastAsia="Calibri"/>
          <w:sz w:val="22"/>
        </w:rPr>
        <w:t xml:space="preserve"> n° </w:t>
      </w:r>
      <w:r>
        <w:rPr>
          <w:rFonts w:ascii="Calibri" w:hAnsi="Calibri" w:eastAsia="Calibri"/>
          <w:sz w:val="22"/>
          <w:highlight w:val="yellow"/>
        </w:rPr>
        <w:t>[numéro SIREN]</w:t>
      </w:r>
    </w:p>
    <w:p>
      <w:pPr>
        <w:spacing w:after="80" w:before="0"/>
        <w:jc w:val="center"/>
      </w:pPr>
      <w:r>
        <w:rPr>
          <w:rFonts w:ascii="Calibri" w:hAnsi="Calibri" w:eastAsia="Calibri"/>
          <w:b/>
          <w:sz w:val="24"/>
        </w:rPr>
        <w:t>PROCÈS-VERBAL DES DÉCISIONS DE L’ASSOCIÉ UNIQUE</w:t>
      </w:r>
    </w:p>
    <w:p>
      <w:pPr>
        <w:spacing w:after="280" w:before="0"/>
        <w:jc w:val="center"/>
      </w:pPr>
      <w:r>
        <w:rPr>
          <w:rFonts w:ascii="Calibri" w:hAnsi="Calibri" w:eastAsia="Calibri"/>
          <w:b/>
          <w:sz w:val="22"/>
        </w:rPr>
        <w:t xml:space="preserve">du </w:t>
      </w:r>
      <w:r>
        <w:rPr>
          <w:rFonts w:ascii="Calibri" w:hAnsi="Calibri" w:eastAsia="Calibri"/>
          <w:sz w:val="22"/>
          <w:highlight w:val="yellow"/>
        </w:rPr>
        <w:t>[date]</w:t>
      </w:r>
    </w:p>
    <w:p>
      <w:pPr>
        <w:spacing w:after="160" w:before="0"/>
      </w:pPr>
      <w:r>
        <w:rPr>
          <w:rFonts w:ascii="Calibri" w:hAnsi="Calibri" w:eastAsia="Calibri"/>
          <w:sz w:val="22"/>
        </w:rPr>
        <w:t xml:space="preserve">L’an </w:t>
      </w:r>
      <w:r>
        <w:rPr>
          <w:rFonts w:ascii="Calibri" w:hAnsi="Calibri" w:eastAsia="Calibri"/>
          <w:sz w:val="22"/>
          <w:highlight w:val="yellow"/>
        </w:rPr>
        <w:t>[année]</w:t>
      </w:r>
      <w:r>
        <w:rPr>
          <w:rFonts w:ascii="Calibri" w:hAnsi="Calibri" w:eastAsia="Calibri"/>
          <w:sz w:val="22"/>
        </w:rPr>
        <w:t xml:space="preserve">, le </w:t>
      </w:r>
      <w:r>
        <w:rPr>
          <w:rFonts w:ascii="Calibri" w:hAnsi="Calibri" w:eastAsia="Calibri"/>
          <w:sz w:val="22"/>
          <w:highlight w:val="yellow"/>
        </w:rPr>
        <w:t>[jour et mois]</w:t>
      </w:r>
      <w:r>
        <w:rPr>
          <w:rFonts w:ascii="Calibri" w:hAnsi="Calibri" w:eastAsia="Calibri"/>
          <w:sz w:val="22"/>
        </w:rPr>
        <w:t xml:space="preserve">, à </w:t>
      </w:r>
      <w:r>
        <w:rPr>
          <w:rFonts w:ascii="Calibri" w:hAnsi="Calibri" w:eastAsia="Calibri"/>
          <w:sz w:val="22"/>
          <w:highlight w:val="yellow"/>
        </w:rPr>
        <w:t>[heure]</w:t>
      </w:r>
      <w:r>
        <w:rPr>
          <w:rFonts w:ascii="Calibri" w:hAnsi="Calibri" w:eastAsia="Calibri"/>
          <w:sz w:val="22"/>
        </w:rPr>
        <w:t>,</w:t>
      </w:r>
    </w:p>
    <w:p>
      <w:pPr>
        <w:spacing w:after="160" w:before="0"/>
      </w:pPr>
      <w:r>
        <w:rPr>
          <w:rFonts w:ascii="Calibri" w:hAnsi="Calibri" w:eastAsia="Calibri"/>
          <w:sz w:val="22"/>
          <w:highlight w:val="yellow"/>
        </w:rPr>
        <w:t>[Prénom NOM]</w:t>
      </w:r>
      <w:r>
        <w:rPr>
          <w:rFonts w:ascii="Calibri" w:hAnsi="Calibri" w:eastAsia="Calibri"/>
          <w:sz w:val="22"/>
        </w:rPr>
        <w:t xml:space="preserve">, associé unique de la société </w:t>
      </w:r>
      <w:r>
        <w:rPr>
          <w:rFonts w:ascii="Calibri" w:hAnsi="Calibri" w:eastAsia="Calibri"/>
          <w:sz w:val="22"/>
          <w:highlight w:val="yellow"/>
        </w:rPr>
        <w:t>[dénomination]</w:t>
      </w:r>
      <w:r>
        <w:rPr>
          <w:rFonts w:ascii="Calibri" w:hAnsi="Calibri" w:eastAsia="Calibri"/>
          <w:sz w:val="22"/>
        </w:rPr>
        <w:t xml:space="preserve">, propriétaire de la totalité des </w:t>
      </w:r>
      <w:r>
        <w:rPr>
          <w:rFonts w:ascii="Calibri" w:hAnsi="Calibri" w:eastAsia="Calibri"/>
          <w:sz w:val="22"/>
          <w:highlight w:val="yellow"/>
        </w:rPr>
        <w:t>[actions / parts sociales]</w:t>
      </w:r>
      <w:r>
        <w:rPr>
          <w:rFonts w:ascii="Calibri" w:hAnsi="Calibri" w:eastAsia="Calibri"/>
          <w:sz w:val="22"/>
        </w:rPr>
        <w:t>,</w:t>
      </w:r>
    </w:p>
    <w:p>
      <w:pPr>
        <w:spacing w:after="120" w:before="0"/>
      </w:pPr>
      <w:r>
        <w:rPr>
          <w:rFonts w:ascii="Calibri" w:hAnsi="Calibri" w:eastAsia="Calibri"/>
          <w:sz w:val="22"/>
        </w:rPr>
        <w:t>a pris les décisions relatives à l’ordre du jour suivant :</w:t>
      </w:r>
    </w:p>
    <w:p>
      <w:pPr>
        <w:spacing w:after="60" w:before="0"/>
      </w:pPr>
      <w:r>
        <w:rPr>
          <w:rFonts w:ascii="Calibri" w:hAnsi="Calibri" w:eastAsia="Calibri"/>
          <w:sz w:val="22"/>
        </w:rPr>
        <w:t xml:space="preserve">1. Lecture du rapport de gestion </w:t>
      </w:r>
      <w:r>
        <w:rPr>
          <w:rFonts w:ascii="Calibri" w:hAnsi="Calibri" w:eastAsia="Calibri"/>
          <w:sz w:val="22"/>
          <w:highlight w:val="yellow"/>
        </w:rPr>
        <w:t>[le cas échéant : et du rapport du commissaire aux comptes]</w:t>
      </w:r>
    </w:p>
    <w:p>
      <w:pPr>
        <w:spacing w:after="60" w:before="0"/>
      </w:pPr>
      <w:r>
        <w:rPr>
          <w:rFonts w:ascii="Calibri" w:hAnsi="Calibri" w:eastAsia="Calibri"/>
          <w:sz w:val="22"/>
        </w:rPr>
        <w:t xml:space="preserve">2. Approbation des comptes de l’exercice clos le </w:t>
      </w:r>
      <w:r>
        <w:rPr>
          <w:rFonts w:ascii="Calibri" w:hAnsi="Calibri" w:eastAsia="Calibri"/>
          <w:sz w:val="22"/>
          <w:highlight w:val="yellow"/>
        </w:rPr>
        <w:t>[date de clôture]</w:t>
      </w:r>
    </w:p>
    <w:p>
      <w:pPr>
        <w:spacing w:after="60" w:before="0"/>
      </w:pPr>
      <w:r>
        <w:rPr>
          <w:rFonts w:ascii="Calibri" w:hAnsi="Calibri" w:eastAsia="Calibri"/>
          <w:sz w:val="22"/>
        </w:rPr>
        <w:t>3. Affectation du résultat</w:t>
      </w:r>
    </w:p>
    <w:p>
      <w:pPr>
        <w:spacing w:after="60" w:before="0"/>
      </w:pPr>
      <w:r>
        <w:rPr>
          <w:rFonts w:ascii="Calibri" w:hAnsi="Calibri" w:eastAsia="Calibri"/>
          <w:sz w:val="22"/>
        </w:rPr>
        <w:t>4. Quitus au Président / gérant</w:t>
      </w:r>
    </w:p>
    <w:p>
      <w:pPr>
        <w:spacing w:after="240" w:before="0"/>
      </w:pPr>
      <w:r>
        <w:rPr>
          <w:rFonts w:ascii="Calibri" w:hAnsi="Calibri" w:eastAsia="Calibri"/>
          <w:sz w:val="22"/>
        </w:rPr>
        <w:t xml:space="preserve">5. </w:t>
      </w:r>
      <w:r>
        <w:rPr>
          <w:rFonts w:ascii="Calibri" w:hAnsi="Calibri" w:eastAsia="Calibri"/>
          <w:sz w:val="22"/>
          <w:highlight w:val="yellow"/>
        </w:rPr>
        <w:t>[Questions diverses — à compléter ou supprimer]</w:t>
      </w:r>
    </w:p>
    <w:p>
      <w:pPr>
        <w:spacing w:after="120" w:before="0"/>
      </w:pPr>
      <w:r>
        <w:rPr>
          <w:rFonts w:ascii="Calibri" w:hAnsi="Calibri" w:eastAsia="Calibri"/>
          <w:b/>
          <w:sz w:val="22"/>
        </w:rPr>
        <w:t>PREMIÈRE DÉCISION — Approbation des comptes</w:t>
      </w:r>
    </w:p>
    <w:p>
      <w:pPr>
        <w:spacing w:after="160" w:before="0"/>
      </w:pPr>
      <w:r>
        <w:rPr>
          <w:rFonts w:ascii="Calibri" w:hAnsi="Calibri" w:eastAsia="Calibri"/>
          <w:sz w:val="22"/>
        </w:rPr>
        <w:t xml:space="preserve">L’Associé unique, après avoir pris connaissance des comptes annuels de l’exercice clos le </w:t>
      </w:r>
      <w:r>
        <w:rPr>
          <w:rFonts w:ascii="Calibri" w:hAnsi="Calibri" w:eastAsia="Calibri"/>
          <w:sz w:val="22"/>
          <w:highlight w:val="yellow"/>
        </w:rPr>
        <w:t>[date]</w:t>
      </w:r>
      <w:r>
        <w:rPr>
          <w:rFonts w:ascii="Calibri" w:hAnsi="Calibri" w:eastAsia="Calibri"/>
          <w:sz w:val="22"/>
        </w:rPr>
        <w:t xml:space="preserve"> (bilan, compte de résultat et annexe) </w:t>
      </w:r>
      <w:r>
        <w:rPr>
          <w:rFonts w:ascii="Calibri" w:hAnsi="Calibri" w:eastAsia="Calibri"/>
          <w:sz w:val="22"/>
          <w:highlight w:val="yellow"/>
        </w:rPr>
        <w:t>[et du rapport de gestion]</w:t>
      </w:r>
      <w:r>
        <w:rPr>
          <w:rFonts w:ascii="Calibri" w:hAnsi="Calibri" w:eastAsia="Calibri"/>
          <w:sz w:val="22"/>
        </w:rPr>
        <w:t xml:space="preserve">, approuve lesdits comptes tels qu’ils lui ont été présentés, qui font ressortir un </w:t>
      </w:r>
      <w:r>
        <w:rPr>
          <w:rFonts w:ascii="Calibri" w:hAnsi="Calibri" w:eastAsia="Calibri"/>
          <w:sz w:val="22"/>
          <w:highlight w:val="yellow"/>
        </w:rPr>
        <w:t>[bénéfice / perte]</w:t>
      </w:r>
      <w:r>
        <w:rPr>
          <w:rFonts w:ascii="Calibri" w:hAnsi="Calibri" w:eastAsia="Calibri"/>
          <w:sz w:val="22"/>
        </w:rPr>
        <w:t xml:space="preserve"> de </w:t>
      </w:r>
      <w:r>
        <w:rPr>
          <w:rFonts w:ascii="Calibri" w:hAnsi="Calibri" w:eastAsia="Calibri"/>
          <w:sz w:val="22"/>
          <w:highlight w:val="yellow"/>
        </w:rPr>
        <w:t>[montant]</w:t>
      </w:r>
      <w:r>
        <w:rPr>
          <w:rFonts w:ascii="Calibri" w:hAnsi="Calibri" w:eastAsia="Calibri"/>
          <w:sz w:val="22"/>
        </w:rPr>
        <w:t xml:space="preserve"> €</w:t>
      </w:r>
      <w:r>
        <w:rPr>
          <w:rFonts w:ascii="Calibri" w:hAnsi="Calibri" w:eastAsia="Calibri"/>
          <w:sz w:val="22"/>
        </w:rPr>
        <w:t>.</w:t>
      </w:r>
    </w:p>
    <w:p>
      <w:pPr>
        <w:spacing w:after="240" w:before="0"/>
      </w:pPr>
      <w:r>
        <w:rPr>
          <w:rFonts w:ascii="Calibri" w:hAnsi="Calibri" w:eastAsia="Calibri"/>
          <w:b/>
          <w:sz w:val="22"/>
        </w:rPr>
        <w:t>Cette décision est adoptée par l’Associé unique.</w:t>
      </w:r>
    </w:p>
    <w:p>
      <w:pPr>
        <w:spacing w:after="120" w:before="0"/>
      </w:pPr>
      <w:r>
        <w:rPr>
          <w:rFonts w:ascii="Calibri" w:hAnsi="Calibri" w:eastAsia="Calibri"/>
          <w:b/>
          <w:sz w:val="22"/>
        </w:rPr>
        <w:t>DEUXIÈME DÉCISION — Affectation du résultat</w:t>
      </w:r>
    </w:p>
    <w:p>
      <w:pPr>
        <w:spacing w:after="120" w:before="0"/>
      </w:pPr>
      <w:r>
        <w:rPr>
          <w:rFonts w:ascii="Calibri" w:hAnsi="Calibri" w:eastAsia="Calibri"/>
          <w:sz w:val="22"/>
        </w:rPr>
        <w:t xml:space="preserve">L’Associé unique décide d’affecter le résultat de l’exercice clos le </w:t>
      </w:r>
      <w:r>
        <w:rPr>
          <w:rFonts w:ascii="Calibri" w:hAnsi="Calibri" w:eastAsia="Calibri"/>
          <w:sz w:val="22"/>
          <w:highlight w:val="yellow"/>
        </w:rPr>
        <w:t>[date]</w:t>
      </w:r>
      <w:r>
        <w:rPr>
          <w:rFonts w:ascii="Calibri" w:hAnsi="Calibri" w:eastAsia="Calibri"/>
          <w:sz w:val="22"/>
        </w:rPr>
        <w:t xml:space="preserve"> de la manière suivante :</w:t>
      </w:r>
    </w:p>
    <w:p>
      <w:pPr>
        <w:spacing w:after="60" w:before="0"/>
      </w:pPr>
      <w:r>
        <w:rPr>
          <w:rFonts w:ascii="Calibri" w:hAnsi="Calibri" w:eastAsia="Calibri"/>
          <w:sz w:val="22"/>
        </w:rPr>
        <w:t xml:space="preserve">– </w:t>
      </w:r>
      <w:r>
        <w:rPr>
          <w:rFonts w:ascii="Calibri" w:hAnsi="Calibri" w:eastAsia="Calibri"/>
          <w:sz w:val="22"/>
          <w:highlight w:val="yellow"/>
        </w:rPr>
        <w:t>[bénéfice de l’exercice / perte]</w:t>
      </w:r>
      <w:r>
        <w:rPr>
          <w:rFonts w:ascii="Calibri" w:hAnsi="Calibri" w:eastAsia="Calibri"/>
          <w:sz w:val="22"/>
        </w:rPr>
        <w:t xml:space="preserve"> : </w:t>
      </w:r>
      <w:r>
        <w:rPr>
          <w:rFonts w:ascii="Calibri" w:hAnsi="Calibri" w:eastAsia="Calibri"/>
          <w:sz w:val="22"/>
          <w:highlight w:val="yellow"/>
        </w:rPr>
        <w:t>[montant]</w:t>
      </w:r>
      <w:r>
        <w:rPr>
          <w:rFonts w:ascii="Calibri" w:hAnsi="Calibri" w:eastAsia="Calibri"/>
          <w:sz w:val="22"/>
        </w:rPr>
        <w:t xml:space="preserve"> €</w:t>
      </w:r>
    </w:p>
    <w:p>
      <w:pPr>
        <w:spacing w:after="60" w:before="0"/>
      </w:pPr>
      <w:r>
        <w:rPr>
          <w:rFonts w:ascii="Calibri" w:hAnsi="Calibri" w:eastAsia="Calibri"/>
          <w:sz w:val="22"/>
        </w:rPr>
        <w:t xml:space="preserve">– </w:t>
      </w:r>
      <w:r>
        <w:rPr>
          <w:rFonts w:ascii="Calibri" w:hAnsi="Calibri" w:eastAsia="Calibri"/>
          <w:sz w:val="22"/>
          <w:highlight w:val="yellow"/>
        </w:rPr>
        <w:t>[report à nouveau antérieur, le cas échéant]</w:t>
      </w:r>
      <w:r>
        <w:rPr>
          <w:rFonts w:ascii="Calibri" w:hAnsi="Calibri" w:eastAsia="Calibri"/>
          <w:sz w:val="22"/>
        </w:rPr>
        <w:t xml:space="preserve"> : </w:t>
      </w:r>
      <w:r>
        <w:rPr>
          <w:rFonts w:ascii="Calibri" w:hAnsi="Calibri" w:eastAsia="Calibri"/>
          <w:sz w:val="22"/>
          <w:highlight w:val="yellow"/>
        </w:rPr>
        <w:t>[montant]</w:t>
      </w:r>
      <w:r>
        <w:rPr>
          <w:rFonts w:ascii="Calibri" w:hAnsi="Calibri" w:eastAsia="Calibri"/>
          <w:sz w:val="22"/>
        </w:rPr>
        <w:t xml:space="preserve"> €</w:t>
      </w:r>
    </w:p>
    <w:p>
      <w:pPr>
        <w:spacing w:after="60" w:before="0"/>
      </w:pPr>
      <w:r>
        <w:rPr>
          <w:rFonts w:ascii="Calibri" w:hAnsi="Calibri" w:eastAsia="Calibri"/>
          <w:sz w:val="22"/>
        </w:rPr>
        <w:t xml:space="preserve">– Dotation à la réserve légale : </w:t>
      </w:r>
      <w:r>
        <w:rPr>
          <w:rFonts w:ascii="Calibri" w:hAnsi="Calibri" w:eastAsia="Calibri"/>
          <w:sz w:val="22"/>
          <w:highlight w:val="yellow"/>
        </w:rPr>
        <w:t>[montant]</w:t>
      </w:r>
      <w:r>
        <w:rPr>
          <w:rFonts w:ascii="Calibri" w:hAnsi="Calibri" w:eastAsia="Calibri"/>
          <w:sz w:val="22"/>
        </w:rPr>
        <w:t xml:space="preserve"> €</w:t>
      </w:r>
      <w:r>
        <w:rPr>
          <w:rFonts w:ascii="Calibri" w:hAnsi="Calibri" w:eastAsia="Calibri"/>
          <w:sz w:val="22"/>
        </w:rPr>
        <w:t xml:space="preserve"> </w:t>
      </w:r>
      <w:r>
        <w:rPr>
          <w:rFonts w:ascii="Calibri" w:hAnsi="Calibri" w:eastAsia="Calibri"/>
          <w:sz w:val="22"/>
          <w:highlight w:val="yellow"/>
        </w:rPr>
        <w:t>[si applicable]</w:t>
      </w:r>
    </w:p>
    <w:p>
      <w:pPr>
        <w:spacing w:after="160" w:before="0"/>
      </w:pPr>
      <w:r>
        <w:rPr>
          <w:rFonts w:ascii="Calibri" w:hAnsi="Calibri" w:eastAsia="Calibri"/>
          <w:sz w:val="22"/>
        </w:rPr>
        <w:t xml:space="preserve">– </w:t>
      </w:r>
      <w:r>
        <w:rPr>
          <w:rFonts w:ascii="Calibri" w:hAnsi="Calibri" w:eastAsia="Calibri"/>
          <w:sz w:val="22"/>
          <w:highlight w:val="yellow"/>
        </w:rPr>
        <w:t>[Autres réserves / distribution de dividendes / report à nouveau]</w:t>
      </w:r>
      <w:r>
        <w:rPr>
          <w:rFonts w:ascii="Calibri" w:hAnsi="Calibri" w:eastAsia="Calibri"/>
          <w:sz w:val="22"/>
        </w:rPr>
        <w:t xml:space="preserve"> : </w:t>
      </w:r>
      <w:r>
        <w:rPr>
          <w:rFonts w:ascii="Calibri" w:hAnsi="Calibri" w:eastAsia="Calibri"/>
          <w:sz w:val="22"/>
          <w:highlight w:val="yellow"/>
        </w:rPr>
        <w:t>[montant]</w:t>
      </w:r>
      <w:r>
        <w:rPr>
          <w:rFonts w:ascii="Calibri" w:hAnsi="Calibri" w:eastAsia="Calibri"/>
          <w:sz w:val="22"/>
        </w:rPr>
        <w:t xml:space="preserve"> €</w:t>
      </w:r>
    </w:p>
    <w:p>
      <w:pPr>
        <w:spacing w:after="160" w:before="0"/>
      </w:pPr>
      <w:r>
        <w:rPr>
          <w:rFonts w:ascii="Calibri" w:hAnsi="Calibri" w:eastAsia="Calibri"/>
          <w:sz w:val="22"/>
          <w:highlight w:val="yellow"/>
        </w:rPr>
        <w:t>[En cas de distribution : le dividende unitaire est fixé à … € par action / part ; mise en paiement à compter du …]</w:t>
      </w:r>
    </w:p>
    <w:p>
      <w:pPr>
        <w:spacing w:after="240" w:before="0"/>
      </w:pPr>
      <w:r>
        <w:rPr>
          <w:rFonts w:ascii="Calibri" w:hAnsi="Calibri" w:eastAsia="Calibri"/>
          <w:b/>
          <w:sz w:val="22"/>
        </w:rPr>
        <w:t>Cette décision est adoptée par l’Associé unique.</w:t>
      </w:r>
    </w:p>
    <w:p>
      <w:pPr>
        <w:spacing w:after="120" w:before="0"/>
      </w:pPr>
      <w:r>
        <w:rPr>
          <w:rFonts w:ascii="Calibri" w:hAnsi="Calibri" w:eastAsia="Calibri"/>
          <w:b/>
          <w:sz w:val="22"/>
        </w:rPr>
        <w:t>TROISIÈME DÉCISION — Quitus</w:t>
      </w:r>
    </w:p>
    <w:p>
      <w:pPr>
        <w:spacing w:after="160" w:before="0"/>
      </w:pPr>
      <w:r>
        <w:rPr>
          <w:rFonts w:ascii="Calibri" w:hAnsi="Calibri" w:eastAsia="Calibri"/>
          <w:sz w:val="22"/>
        </w:rPr>
        <w:t xml:space="preserve">L’Associé unique donne quitus entier et sans réserve à </w:t>
      </w:r>
      <w:r>
        <w:rPr>
          <w:rFonts w:ascii="Calibri" w:hAnsi="Calibri" w:eastAsia="Calibri"/>
          <w:sz w:val="22"/>
          <w:highlight w:val="yellow"/>
        </w:rPr>
        <w:t>[Prénom NOM]</w:t>
      </w:r>
      <w:r>
        <w:rPr>
          <w:rFonts w:ascii="Calibri" w:hAnsi="Calibri" w:eastAsia="Calibri"/>
          <w:sz w:val="22"/>
        </w:rPr>
        <w:t xml:space="preserve"> de sa gestion en qualité de </w:t>
      </w:r>
      <w:r>
        <w:rPr>
          <w:rFonts w:ascii="Calibri" w:hAnsi="Calibri" w:eastAsia="Calibri"/>
          <w:sz w:val="22"/>
          <w:highlight w:val="yellow"/>
        </w:rPr>
        <w:t>[Président / gérant]</w:t>
      </w:r>
      <w:r>
        <w:rPr>
          <w:rFonts w:ascii="Calibri" w:hAnsi="Calibri" w:eastAsia="Calibri"/>
          <w:sz w:val="22"/>
        </w:rPr>
        <w:t xml:space="preserve"> pour l’exercice écoulé.</w:t>
      </w:r>
    </w:p>
    <w:p>
      <w:pPr>
        <w:spacing w:after="240" w:before="0"/>
      </w:pPr>
      <w:r>
        <w:rPr>
          <w:rFonts w:ascii="Calibri" w:hAnsi="Calibri" w:eastAsia="Calibri"/>
          <w:b/>
          <w:sz w:val="22"/>
        </w:rPr>
        <w:t>Cette décision est adoptée par l’Associé unique.</w:t>
      </w:r>
    </w:p>
    <w:p>
      <w:pPr>
        <w:spacing w:after="120" w:before="0"/>
      </w:pPr>
      <w:r>
        <w:rPr>
          <w:rFonts w:ascii="Calibri" w:hAnsi="Calibri" w:eastAsia="Calibri"/>
          <w:b/>
          <w:sz w:val="22"/>
        </w:rPr>
        <w:t xml:space="preserve">QUATRIÈME DÉCISION — </w:t>
      </w:r>
      <w:r>
        <w:rPr>
          <w:rFonts w:ascii="Calibri" w:hAnsi="Calibri" w:eastAsia="Calibri"/>
          <w:sz w:val="22"/>
          <w:highlight w:val="yellow"/>
        </w:rPr>
        <w:t>[Éventuelle — à compléter ou supprimer]</w:t>
      </w:r>
    </w:p>
    <w:p>
      <w:pPr>
        <w:spacing w:after="280" w:before="0"/>
      </w:pPr>
      <w:r>
        <w:rPr>
          <w:rFonts w:ascii="Calibri" w:hAnsi="Calibri" w:eastAsia="Calibri"/>
          <w:sz w:val="22"/>
          <w:highlight w:val="yellow"/>
        </w:rPr>
        <w:t>[Texte de la décision]</w:t>
      </w:r>
    </w:p>
    <w:p>
      <w:pPr>
        <w:spacing w:after="320" w:before="0"/>
      </w:pPr>
      <w:r>
        <w:rPr>
          <w:rFonts w:ascii="Calibri" w:hAnsi="Calibri" w:eastAsia="Calibri"/>
          <w:sz w:val="22"/>
        </w:rPr>
        <w:t>De tout ce que dessus, il a été dressé le présent procès-verbal, signé par l’Associé unique et consigné sur le registre des décisions.</w:t>
      </w:r>
    </w:p>
    <w:p>
      <w:pPr>
        <w:spacing w:after="80" w:before="0"/>
      </w:pPr>
      <w:r>
        <w:rPr>
          <w:rFonts w:ascii="Calibri" w:hAnsi="Calibri" w:eastAsia="Calibri"/>
          <w:b/>
          <w:sz w:val="22"/>
        </w:rPr>
        <w:t>L’Associé unique</w:t>
      </w:r>
    </w:p>
    <w:p>
      <w:pPr>
        <w:spacing w:after="80" w:before="0"/>
      </w:pPr>
      <w:r>
        <w:rPr>
          <w:rFonts w:ascii="Calibri" w:hAnsi="Calibri" w:eastAsia="Calibri"/>
          <w:sz w:val="22"/>
          <w:highlight w:val="yellow"/>
        </w:rPr>
        <w:t>[Prénom NOM]</w:t>
      </w:r>
    </w:p>
    <w:p>
      <w:pPr>
        <w:spacing w:after="160" w:before="0"/>
      </w:pPr>
      <w:r>
        <w:rPr>
          <w:rFonts w:ascii="Calibri" w:hAnsi="Calibri" w:eastAsia="Calibri"/>
          <w:sz w:val="22"/>
          <w:highlight w:val="yellow"/>
        </w:rPr>
        <w:t>[Signature]</w:t>
      </w:r>
    </w:p>
    <w:p>
      <w:r>
        <w:br w:type="page"/>
      </w:r>
    </w:p>
    <w:p>
      <w:pPr>
        <w:spacing w:after="80" w:before="0"/>
      </w:pPr>
      <w:r>
        <w:rPr>
          <w:rFonts w:ascii="Calibri" w:hAnsi="Calibri" w:eastAsia="Calibri"/>
          <w:b/>
          <w:sz w:val="26"/>
        </w:rPr>
        <w:t>Notes pratiques — à supprimer avant utilisation</w:t>
      </w:r>
    </w:p>
    <w:p>
      <w:pPr>
        <w:spacing w:after="120"/>
      </w:pPr>
    </w:p>
    <w:p>
      <w:pPr>
        <w:spacing w:after="100" w:before="0"/>
        <w:jc w:val="both"/>
      </w:pPr>
      <w:r>
        <w:rPr>
          <w:rFonts w:ascii="Calibri" w:hAnsi="Calibri" w:eastAsia="Calibri"/>
          <w:color w:val="374151"/>
          <w:sz w:val="20"/>
        </w:rPr>
        <w:t>• L’approbation des comptes intervient en principe dans les six mois de la clôture de l’exercice (sauf prorogation judiciaire).</w:t>
      </w:r>
    </w:p>
    <w:p>
      <w:pPr>
        <w:spacing w:after="100" w:before="0"/>
        <w:jc w:val="both"/>
      </w:pPr>
      <w:r>
        <w:rPr>
          <w:rFonts w:ascii="Calibri" w:hAnsi="Calibri" w:eastAsia="Calibri"/>
          <w:color w:val="374151"/>
          <w:sz w:val="20"/>
        </w:rPr>
        <w:t>• Selon la forme sociale et les seuils, un rapport de gestion ou un commissaire aux comptes peuvent être obligatoires. Pour une SASU ou une EURL, les comptes annuels approuvés doivent en principe être déposés au registre du commerce et des sociétés ; une déclaration de confidentialité est possible sous conditions pour les plus petites sociétés.</w:t>
      </w:r>
    </w:p>
    <w:p>
      <w:pPr>
        <w:spacing w:after="100" w:before="0"/>
        <w:jc w:val="both"/>
      </w:pPr>
      <w:r>
        <w:rPr>
          <w:rFonts w:ascii="Calibri" w:hAnsi="Calibri" w:eastAsia="Calibri"/>
          <w:color w:val="374151"/>
          <w:sz w:val="20"/>
        </w:rPr>
        <w:t>• En cas de perte atteignant certains seuils relatifs aux capitaux propres, des formalités spécifiques peuvent s’imposer — faites-vous conseiller.</w:t>
      </w:r>
    </w:p>
    <w:p>
      <w:pPr>
        <w:spacing w:after="100" w:before="0"/>
        <w:jc w:val="both"/>
      </w:pPr>
      <w:r>
        <w:rPr>
          <w:rFonts w:ascii="Calibri" w:hAnsi="Calibri" w:eastAsia="Calibri"/>
          <w:color w:val="374151"/>
          <w:sz w:val="20"/>
        </w:rPr>
        <w:t>• Conservez le PV dans le registre des décisions et joignez les comptes approuvés.</w:t>
      </w:r>
    </w:p>
    <w:p>
      <w:pPr>
        <w:spacing w:after="100" w:before="0"/>
        <w:jc w:val="both"/>
      </w:pPr>
      <w:r>
        <w:rPr>
          <w:rFonts w:ascii="Calibri" w:hAnsi="Calibri" w:eastAsia="Calibri"/>
          <w:color w:val="374151"/>
          <w:sz w:val="20"/>
        </w:rPr>
        <w:t>• Supprimez l’en-tête informatif, les surlignages et la présente page avant classement ou dépôt.</w:t>
      </w:r>
    </w:p>
    <w:sectPr w:rsidR="00FC693F" w:rsidRPr="0006063C" w:rsidSect="00034616">
      <w:headerReference w:type="default" r:id="rId9"/>
      <w:footerReference w:type="default" r:id="rId10"/>
      <w:pgSz w:w="12240" w:h="15840"/>
      <w:pgMar w:top="1247"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Calibri" w:hAnsi="Calibri" w:eastAsia="Calibri"/>
        <w:color w:val="9AA5B1"/>
        <w:sz w:val="16"/>
      </w:rPr>
      <w:t>Modèle — Cabinet Gasimov, avocat à Strasbourg · www.avocat-gasimov.fr</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
      <w:rPr>
        <w:rFonts w:ascii="Calibri" w:hAnsi="Calibri" w:eastAsia="Calibri"/>
        <w:i/>
        <w:color w:val="6B7280"/>
        <w:sz w:val="17"/>
      </w:rPr>
      <w:t>Modèle fourni à titre informatif — à adapter à votre situation ; ne remplace pas un conseil personnalisé. Cabinet Gasimov</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Procès-verbal — décisions de l’associé unique (approbation des comptes)</dc:title>
  <dc:subject/>
  <dc:creator>Cabinet Gasimov</dc:creator>
  <cp:keywords/>
  <dc:description>generated by python-docx</dc:description>
  <cp:lastModifiedBy/>
  <cp:revision>1</cp:revision>
  <dcterms:created xsi:type="dcterms:W3CDTF">2013-12-23T23:15:00Z</dcterms:created>
  <dcterms:modified xsi:type="dcterms:W3CDTF">2013-12-23T23:15:00Z</dcterms:modified>
  <cp:category/>
</cp:coreProperties>
</file>