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[SARL / EURL / SAS / SASU / SCI]</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 xml:space="preserve">PROCÈS-VERBAL DES DÉCISIONS </w:t>
      </w:r>
      <w:r>
        <w:rPr>
          <w:rFonts w:ascii="Calibri" w:hAnsi="Calibri" w:eastAsia="Calibri"/>
          <w:b/>
          <w:sz w:val="24"/>
          <w:highlight w:val="yellow"/>
        </w:rPr>
        <w:t>[DE L’ASSEMBLÉE GÉNÉRALE EXTRAORDINAIRE / COLLECTIVES DES ASSOCIÉS / DE L’ASSOCIÉ UNIQUE]</w:t>
      </w:r>
    </w:p>
    <w:p>
      <w:pPr>
        <w:spacing w:after="40" w:before="0"/>
        <w:jc w:val="center"/>
      </w:pPr>
      <w:r>
        <w:rPr>
          <w:rFonts w:ascii="Calibri" w:hAnsi="Calibri" w:eastAsia="Calibri"/>
          <w:b/>
          <w:sz w:val="24"/>
        </w:rPr>
        <w:t xml:space="preserve">DU </w:t>
      </w:r>
      <w:r>
        <w:rPr>
          <w:rFonts w:ascii="Calibri" w:hAnsi="Calibri" w:eastAsia="Calibri"/>
          <w:b/>
          <w:sz w:val="24"/>
          <w:highlight w:val="yellow"/>
        </w:rPr>
        <w:t>[date]</w:t>
      </w:r>
    </w:p>
    <w:p>
      <w:pPr>
        <w:spacing w:after="320" w:before="0"/>
        <w:jc w:val="center"/>
      </w:pPr>
      <w:r>
        <w:rPr>
          <w:rFonts w:ascii="Calibri" w:hAnsi="Calibri" w:eastAsia="Calibri"/>
          <w:i/>
          <w:sz w:val="24"/>
        </w:rPr>
        <w:t>Changement de dénomination sociale et / ou modification de l’objet social</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w:t>
      </w:r>
      <w:r>
        <w:rPr>
          <w:rFonts w:ascii="Calibri" w:hAnsi="Calibri" w:eastAsia="Calibri"/>
          <w:sz w:val="22"/>
          <w:highlight w:val="yellow"/>
        </w:rPr>
        <w:t>[à … heures]</w:t>
      </w:r>
      <w:r>
        <w:rPr>
          <w:rFonts w:ascii="Calibri" w:hAnsi="Calibri" w:eastAsia="Calibri"/>
          <w:sz w:val="22"/>
        </w:rPr>
        <w:t xml:space="preserve">, </w:t>
      </w:r>
      <w:r>
        <w:rPr>
          <w:rFonts w:ascii="Calibri" w:hAnsi="Calibri" w:eastAsia="Calibri"/>
          <w:sz w:val="22"/>
          <w:highlight w:val="yellow"/>
        </w:rPr>
        <w:t>[les associés de la société se sont réunis en assemblée générale extraordinaire au siège social, sur convocation de … adressée le … / les associés ont été consultés par écrit conformément à l’article … des statuts / l’associé unique, propriétaire de la totalité des parts ou actions,]</w:t>
      </w:r>
      <w:r>
        <w:rPr>
          <w:rFonts w:ascii="Calibri" w:hAnsi="Calibri" w:eastAsia="Calibri"/>
          <w:sz w:val="22"/>
        </w:rPr>
        <w:t xml:space="preserve"> </w:t>
      </w:r>
      <w:r>
        <w:rPr>
          <w:rFonts w:ascii="Calibri" w:hAnsi="Calibri" w:eastAsia="Calibri"/>
          <w:sz w:val="22"/>
          <w:highlight w:val="yellow"/>
        </w:rPr>
        <w:t>[ont / a]</w:t>
      </w:r>
      <w:r>
        <w:rPr>
          <w:rFonts w:ascii="Calibri" w:hAnsi="Calibri" w:eastAsia="Calibri"/>
          <w:sz w:val="22"/>
        </w:rPr>
        <w:t xml:space="preserve"> statué sur l’ordre du jour ci-après.</w:t>
      </w:r>
    </w:p>
    <w:p>
      <w:pPr>
        <w:spacing w:after="160" w:before="0"/>
        <w:jc w:val="both"/>
      </w:pPr>
      <w:r>
        <w:rPr>
          <w:rFonts w:ascii="Calibri" w:hAnsi="Calibri" w:eastAsia="Calibri"/>
          <w:sz w:val="22"/>
        </w:rPr>
        <w:t xml:space="preserve">Présidence de séance : </w:t>
      </w:r>
      <w:r>
        <w:rPr>
          <w:rFonts w:ascii="Calibri" w:hAnsi="Calibri" w:eastAsia="Calibri"/>
          <w:sz w:val="22"/>
          <w:highlight w:val="yellow"/>
        </w:rPr>
        <w:t>[Prénom NOM, qualité]</w:t>
      </w:r>
      <w:r>
        <w:rPr>
          <w:rFonts w:ascii="Calibri" w:hAnsi="Calibri" w:eastAsia="Calibri"/>
          <w:sz w:val="22"/>
        </w:rPr>
        <w:t>.</w:t>
      </w:r>
    </w:p>
    <w:p>
      <w:pPr>
        <w:spacing w:after="80" w:before="0"/>
        <w:jc w:val="both"/>
      </w:pPr>
      <w:r>
        <w:rPr>
          <w:rFonts w:ascii="Calibri" w:hAnsi="Calibri" w:eastAsia="Calibri"/>
          <w:sz w:val="22"/>
        </w:rPr>
        <w:t>Associés présents, représentés ou ayant voté par écrit :</w:t>
      </w:r>
    </w:p>
    <w:tbl>
      <w:tblPr>
        <w:tblStyle w:val="TableGrid"/>
        <w:tblW w:type="auto" w:w="0"/>
        <w:jc w:val="center"/>
        <w:tblLayout w:type="fixed"/>
        <w:tblLook w:firstColumn="1" w:firstRow="1" w:lastColumn="0" w:lastRow="0" w:noHBand="0" w:noVBand="1" w:val="04A0"/>
      </w:tblPr>
      <w:tblGrid>
        <w:gridCol w:w="4252"/>
        <w:gridCol w:w="1701"/>
        <w:gridCol w:w="3345"/>
      </w:tblGrid>
      <w:tr>
        <w:trPr>
          <w:tblHeader w:val="true"/>
        </w:trPr>
        <w:tc>
          <w:tcPr>
            <w:tcW w:type="dxa" w:w="4252"/>
            <w:shd w:val="clear" w:color="auto" w:fill="E5E7EB"/>
          </w:tcPr>
          <w:p>
            <w:pPr>
              <w:spacing w:after="0" w:before="0"/>
            </w:pPr>
            <w:r>
              <w:rPr>
                <w:rFonts w:ascii="Calibri" w:hAnsi="Calibri" w:eastAsia="Calibri"/>
                <w:b/>
                <w:sz w:val="19"/>
              </w:rPr>
              <w:t>Associé</w:t>
            </w:r>
          </w:p>
        </w:tc>
        <w:tc>
          <w:tcPr>
            <w:tcW w:type="dxa" w:w="1701"/>
            <w:shd w:val="clear" w:color="auto" w:fill="E5E7EB"/>
          </w:tcPr>
          <w:p>
            <w:pPr>
              <w:spacing w:after="0" w:before="0"/>
            </w:pPr>
            <w:r>
              <w:rPr>
                <w:rFonts w:ascii="Calibri" w:hAnsi="Calibri" w:eastAsia="Calibri"/>
                <w:b/>
                <w:sz w:val="19"/>
              </w:rPr>
              <w:t>Parts ou actions</w:t>
            </w:r>
          </w:p>
        </w:tc>
        <w:tc>
          <w:tcPr>
            <w:tcW w:type="dxa" w:w="3345"/>
            <w:shd w:val="clear" w:color="auto" w:fill="E5E7EB"/>
          </w:tcPr>
          <w:p>
            <w:pPr>
              <w:spacing w:after="0" w:before="0"/>
            </w:pPr>
            <w:r>
              <w:rPr>
                <w:rFonts w:ascii="Calibri" w:hAnsi="Calibri" w:eastAsia="Calibri"/>
                <w:b/>
                <w:sz w:val="19"/>
              </w:rPr>
              <w:t>Présent, représenté ou vote écrit</w:t>
            </w:r>
          </w:p>
        </w:tc>
      </w:tr>
      <w:tr>
        <w:tc>
          <w:tcPr>
            <w:tcW w:type="dxa" w:w="4252"/>
          </w:tcPr>
          <w:p>
            <w:pPr>
              <w:spacing w:after="0" w:before="0"/>
            </w:pPr>
            <w:r>
              <w:rPr>
                <w:rFonts w:ascii="Calibri" w:hAnsi="Calibri" w:eastAsia="Calibri"/>
                <w:sz w:val="19"/>
                <w:highlight w:val="yellow"/>
              </w:rPr>
              <w:t>[…]</w:t>
            </w:r>
          </w:p>
        </w:tc>
        <w:tc>
          <w:tcPr>
            <w:tcW w:type="dxa" w:w="1701"/>
          </w:tcPr>
          <w:p>
            <w:pPr>
              <w:spacing w:after="0" w:before="0"/>
            </w:pPr>
            <w:r>
              <w:rPr>
                <w:rFonts w:ascii="Calibri" w:hAnsi="Calibri" w:eastAsia="Calibri"/>
                <w:sz w:val="19"/>
                <w:highlight w:val="yellow"/>
              </w:rPr>
              <w:t>[nombre]</w:t>
            </w:r>
          </w:p>
        </w:tc>
        <w:tc>
          <w:tcPr>
            <w:tcW w:type="dxa" w:w="3345"/>
          </w:tcPr>
          <w:p>
            <w:pPr>
              <w:spacing w:after="0" w:before="0"/>
            </w:pPr>
            <w:r>
              <w:rPr>
                <w:rFonts w:ascii="Calibri" w:hAnsi="Calibri" w:eastAsia="Calibri"/>
                <w:sz w:val="19"/>
                <w:highlight w:val="yellow"/>
              </w:rPr>
              <w:t>[…]</w:t>
            </w:r>
          </w:p>
        </w:tc>
      </w:tr>
      <w:tr>
        <w:tc>
          <w:tcPr>
            <w:tcW w:type="dxa" w:w="4252"/>
          </w:tcPr>
          <w:p>
            <w:pPr>
              <w:spacing w:after="0" w:before="0"/>
            </w:pPr>
            <w:r>
              <w:rPr>
                <w:rFonts w:ascii="Calibri" w:hAnsi="Calibri" w:eastAsia="Calibri"/>
                <w:sz w:val="19"/>
                <w:highlight w:val="yellow"/>
              </w:rPr>
              <w:t>[…]</w:t>
            </w:r>
          </w:p>
        </w:tc>
        <w:tc>
          <w:tcPr>
            <w:tcW w:type="dxa" w:w="1701"/>
          </w:tcPr>
          <w:p>
            <w:pPr>
              <w:spacing w:after="0" w:before="0"/>
            </w:pPr>
            <w:r>
              <w:rPr>
                <w:rFonts w:ascii="Calibri" w:hAnsi="Calibri" w:eastAsia="Calibri"/>
                <w:sz w:val="19"/>
                <w:highlight w:val="yellow"/>
              </w:rPr>
              <w:t>[nombre]</w:t>
            </w:r>
          </w:p>
        </w:tc>
        <w:tc>
          <w:tcPr>
            <w:tcW w:type="dxa" w:w="3345"/>
          </w:tcPr>
          <w:p>
            <w:pPr>
              <w:spacing w:after="0" w:before="0"/>
            </w:pPr>
            <w:r>
              <w:rPr>
                <w:rFonts w:ascii="Calibri" w:hAnsi="Calibri" w:eastAsia="Calibri"/>
                <w:sz w:val="19"/>
                <w:highlight w:val="yellow"/>
              </w:rPr>
              <w:t>[…]</w:t>
            </w:r>
          </w:p>
        </w:tc>
      </w:tr>
      <w:tr>
        <w:tc>
          <w:tcPr>
            <w:tcW w:type="dxa" w:w="4252"/>
          </w:tcPr>
          <w:p>
            <w:pPr>
              <w:spacing w:after="0" w:before="0"/>
            </w:pPr>
            <w:r>
              <w:rPr>
                <w:rFonts w:ascii="Calibri" w:hAnsi="Calibri" w:eastAsia="Calibri"/>
                <w:b/>
                <w:sz w:val="19"/>
              </w:rPr>
              <w:t>Total</w:t>
            </w:r>
          </w:p>
        </w:tc>
        <w:tc>
          <w:tcPr>
            <w:tcW w:type="dxa" w:w="1701"/>
          </w:tcPr>
          <w:p>
            <w:pPr>
              <w:spacing w:after="0" w:before="0"/>
            </w:pPr>
            <w:r>
              <w:rPr>
                <w:rFonts w:ascii="Calibri" w:hAnsi="Calibri" w:eastAsia="Calibri"/>
                <w:sz w:val="19"/>
                <w:highlight w:val="yellow"/>
              </w:rPr>
              <w:t>[nombre]</w:t>
            </w:r>
          </w:p>
        </w:tc>
        <w:tc>
          <w:tcPr>
            <w:tcW w:type="dxa" w:w="3345"/>
          </w:tcPr>
          <w:p>
            <w:pPr>
              <w:spacing w:after="0" w:before="0"/>
            </w:pPr>
            <w:r>
              <w:rPr>
                <w:rFonts w:ascii="Calibri" w:hAnsi="Calibri" w:eastAsia="Calibri"/>
                <w:sz w:val="19"/>
              </w:rPr>
              <w:t xml:space="preserve">sur </w:t>
            </w:r>
            <w:r>
              <w:rPr>
                <w:rFonts w:ascii="Calibri" w:hAnsi="Calibri" w:eastAsia="Calibri"/>
                <w:sz w:val="19"/>
                <w:highlight w:val="yellow"/>
              </w:rPr>
              <w:t>[nombre]</w:t>
            </w:r>
            <w:r>
              <w:rPr>
                <w:rFonts w:ascii="Calibri" w:hAnsi="Calibri" w:eastAsia="Calibri"/>
                <w:sz w:val="19"/>
              </w:rPr>
              <w:t xml:space="preserve"> parts ou actions</w:t>
            </w:r>
          </w:p>
        </w:tc>
      </w:tr>
    </w:tbl>
    <w:p>
      <w:pPr>
        <w:spacing w:after="160"/>
      </w:pPr>
    </w:p>
    <w:p>
      <w:pPr>
        <w:spacing w:after="160" w:before="0"/>
        <w:jc w:val="both"/>
      </w:pPr>
      <w:r>
        <w:rPr>
          <w:rFonts w:ascii="Calibri" w:hAnsi="Calibri" w:eastAsia="Calibri"/>
          <w:sz w:val="22"/>
        </w:rPr>
        <w:t xml:space="preserve">Le président de séance constate que </w:t>
      </w:r>
      <w:r>
        <w:rPr>
          <w:rFonts w:ascii="Calibri" w:hAnsi="Calibri" w:eastAsia="Calibri"/>
          <w:sz w:val="22"/>
          <w:highlight w:val="yellow"/>
        </w:rPr>
        <w:t>[SARL constituée après la publication de la loi n° 2005-882 du 2 août 2005, ou placée sous ce régime à l’unanimité : le quorum requis par l’article L. 223-30, al. 3, du code de commerce (le quart des parts en première convocation, le cinquième en deuxième convocation) est atteint / SARL constituée avant cette publication : la loi ne prévoit pas de quorum, la décision requérant les trois quarts des parts sociales (art. L. 223-30, al. 2) / SAS ou SCI : les conditions prévues par l’article … des statuts sont réunies]</w:t>
      </w:r>
      <w:r>
        <w:rPr>
          <w:rFonts w:ascii="Calibri" w:hAnsi="Calibri" w:eastAsia="Calibri"/>
          <w:sz w:val="22"/>
        </w:rPr>
        <w:t xml:space="preserve">, et que les documents suivants ont été mis à la disposition des associés dans les délais légaux et statutaires : </w:t>
      </w:r>
      <w:r>
        <w:rPr>
          <w:rFonts w:ascii="Calibri" w:hAnsi="Calibri" w:eastAsia="Calibri"/>
          <w:sz w:val="22"/>
          <w:highlight w:val="yellow"/>
        </w:rPr>
        <w:t>[rapport de la gérance ou du Président, texte des décisions proposées, projet de statuts modifiés, résultat de la recherche d’antériorité]</w:t>
      </w:r>
      <w:r>
        <w:rPr>
          <w:rFonts w:ascii="Calibri" w:hAnsi="Calibri" w:eastAsia="Calibri"/>
          <w:sz w:val="22"/>
        </w:rPr>
        <w:t>.</w:t>
      </w:r>
    </w:p>
    <w:p>
      <w:pPr>
        <w:spacing w:after="120" w:before="0"/>
      </w:pPr>
      <w:r>
        <w:rPr>
          <w:rFonts w:ascii="Calibri" w:hAnsi="Calibri" w:eastAsia="Calibri"/>
          <w:b/>
          <w:sz w:val="22"/>
        </w:rPr>
        <w:t>Ordre du jour</w:t>
      </w:r>
    </w:p>
    <w:p>
      <w:pPr>
        <w:spacing w:after="40" w:before="0"/>
        <w:jc w:val="both"/>
      </w:pPr>
      <w:r>
        <w:rPr>
          <w:rFonts w:ascii="Calibri" w:hAnsi="Calibri" w:eastAsia="Calibri"/>
          <w:sz w:val="22"/>
          <w:highlight w:val="yellow"/>
        </w:rPr>
        <w:t>[1. Changement de la dénomination sociale ;]</w:t>
      </w:r>
    </w:p>
    <w:p>
      <w:pPr>
        <w:spacing w:after="40" w:before="0"/>
        <w:jc w:val="both"/>
      </w:pPr>
      <w:r>
        <w:rPr>
          <w:rFonts w:ascii="Calibri" w:hAnsi="Calibri" w:eastAsia="Calibri"/>
          <w:sz w:val="22"/>
          <w:highlight w:val="yellow"/>
        </w:rPr>
        <w:t>[2. Modification de l’objet social ;]</w:t>
      </w:r>
    </w:p>
    <w:p>
      <w:pPr>
        <w:spacing w:after="40" w:before="0"/>
        <w:jc w:val="both"/>
      </w:pPr>
      <w:r>
        <w:rPr>
          <w:rFonts w:ascii="Calibri" w:hAnsi="Calibri" w:eastAsia="Calibri"/>
          <w:sz w:val="22"/>
        </w:rPr>
        <w:t xml:space="preserve">3. Modification corrélative des articles </w:t>
      </w:r>
      <w:r>
        <w:rPr>
          <w:rFonts w:ascii="Calibri" w:hAnsi="Calibri" w:eastAsia="Calibri"/>
          <w:sz w:val="22"/>
          <w:highlight w:val="yellow"/>
        </w:rPr>
        <w:t>[numéros]</w:t>
      </w:r>
      <w:r>
        <w:rPr>
          <w:rFonts w:ascii="Calibri" w:hAnsi="Calibri" w:eastAsia="Calibri"/>
          <w:sz w:val="22"/>
        </w:rPr>
        <w:t xml:space="preserve"> des statuts ;</w:t>
      </w:r>
    </w:p>
    <w:p>
      <w:pPr>
        <w:spacing w:after="40" w:before="0"/>
        <w:jc w:val="both"/>
      </w:pPr>
      <w:r>
        <w:rPr>
          <w:rFonts w:ascii="Calibri" w:hAnsi="Calibri" w:eastAsia="Calibri"/>
          <w:sz w:val="22"/>
        </w:rPr>
        <w:t>4. Pouvoirs pour les formalités.</w:t>
      </w:r>
    </w:p>
    <w:p>
      <w:pPr>
        <w:spacing w:after="120"/>
      </w:pPr>
    </w:p>
    <w:p>
      <w:pPr>
        <w:spacing w:after="120" w:before="0"/>
      </w:pPr>
      <w:r>
        <w:rPr>
          <w:rFonts w:ascii="Calibri" w:hAnsi="Calibri" w:eastAsia="Calibri"/>
          <w:b/>
          <w:sz w:val="22"/>
        </w:rPr>
        <w:t>Exposé et débats</w:t>
      </w:r>
    </w:p>
    <w:p>
      <w:pPr>
        <w:spacing w:after="160" w:before="0"/>
        <w:jc w:val="both"/>
      </w:pPr>
      <w:r>
        <w:rPr>
          <w:rFonts w:ascii="Calibri" w:hAnsi="Calibri" w:eastAsia="Calibri"/>
          <w:sz w:val="22"/>
          <w:highlight w:val="yellow"/>
        </w:rPr>
        <w:t>[Le président de séance / La gérance / Le Président]</w:t>
      </w:r>
      <w:r>
        <w:rPr>
          <w:rFonts w:ascii="Calibri" w:hAnsi="Calibri" w:eastAsia="Calibri"/>
          <w:sz w:val="22"/>
        </w:rPr>
        <w:t xml:space="preserve"> expose les motifs des modifications proposées : </w:t>
      </w:r>
      <w:r>
        <w:rPr>
          <w:rFonts w:ascii="Calibri" w:hAnsi="Calibri" w:eastAsia="Calibri"/>
          <w:sz w:val="22"/>
          <w:highlight w:val="yellow"/>
        </w:rPr>
        <w:t>[motifs]</w:t>
      </w:r>
      <w:r>
        <w:rPr>
          <w:rFonts w:ascii="Calibri" w:hAnsi="Calibri" w:eastAsia="Calibri"/>
          <w:sz w:val="22"/>
        </w:rPr>
        <w:t xml:space="preserve">. Résumé des débats : </w:t>
      </w:r>
      <w:r>
        <w:rPr>
          <w:rFonts w:ascii="Calibri" w:hAnsi="Calibri" w:eastAsia="Calibri"/>
          <w:sz w:val="22"/>
          <w:highlight w:val="yellow"/>
        </w:rPr>
        <w:t>[questions posées, réponses apportées, observations des associés]</w:t>
      </w:r>
      <w:r>
        <w:rPr>
          <w:rFonts w:ascii="Calibri" w:hAnsi="Calibri" w:eastAsia="Calibri"/>
          <w:sz w:val="22"/>
        </w:rPr>
        <w:t xml:space="preserve">. </w:t>
      </w:r>
      <w:r>
        <w:rPr>
          <w:rFonts w:ascii="Calibri" w:hAnsi="Calibri" w:eastAsia="Calibri"/>
          <w:sz w:val="22"/>
          <w:highlight w:val="yellow"/>
        </w:rPr>
        <w:t>[Décision de l’associé unique : supprimer ce paragraphe.]</w:t>
      </w:r>
    </w:p>
    <w:p>
      <w:pPr>
        <w:spacing w:after="240" w:before="0"/>
        <w:jc w:val="both"/>
      </w:pPr>
      <w:r>
        <w:rPr>
          <w:rFonts w:ascii="Calibri" w:hAnsi="Calibri" w:eastAsia="Calibri"/>
          <w:sz w:val="22"/>
          <w:highlight w:val="yellow"/>
        </w:rPr>
        <w:t>[En cas de consultation écrite : Les associés ont été consultés par écrit ; la réponse de chaque associé est annexée au présent procès-verbal (SARL : C. com., art. R. 223-24).]</w:t>
      </w:r>
    </w:p>
    <w:p>
      <w:pPr>
        <w:spacing w:after="120" w:before="0"/>
      </w:pPr>
      <w:r>
        <w:rPr>
          <w:rFonts w:ascii="Calibri" w:hAnsi="Calibri" w:eastAsia="Calibri"/>
          <w:b/>
          <w:sz w:val="22"/>
        </w:rPr>
        <w:t xml:space="preserve">PREMIÈRE RÉSOLUTION — </w:t>
      </w:r>
      <w:r>
        <w:rPr>
          <w:rFonts w:ascii="Calibri" w:hAnsi="Calibri" w:eastAsia="Calibri"/>
          <w:b/>
          <w:sz w:val="22"/>
        </w:rPr>
        <w:t>Changement de dénomination sociale</w:t>
      </w:r>
    </w:p>
    <w:p>
      <w:pPr>
        <w:spacing w:after="160" w:before="0"/>
        <w:jc w:val="both"/>
      </w:pPr>
      <w:r>
        <w:rPr>
          <w:rFonts w:ascii="Calibri" w:hAnsi="Calibri" w:eastAsia="Calibri"/>
          <w:sz w:val="22"/>
        </w:rPr>
        <w:t xml:space="preserve">Après avoir pris connaissance </w:t>
      </w:r>
      <w:r>
        <w:rPr>
          <w:rFonts w:ascii="Calibri" w:hAnsi="Calibri" w:eastAsia="Calibri"/>
          <w:sz w:val="22"/>
          <w:highlight w:val="yellow"/>
        </w:rPr>
        <w:t>[du rapport de la gérance / du rapport du Président]</w:t>
      </w:r>
      <w:r>
        <w:rPr>
          <w:rFonts w:ascii="Calibri" w:hAnsi="Calibri" w:eastAsia="Calibri"/>
          <w:sz w:val="22"/>
          <w:highlight w:val="yellow"/>
        </w:rPr>
        <w:t>[ et du résultat de la recherche d’antériorité effectuée le … auprès de l’INPI]</w:t>
      </w:r>
      <w:r>
        <w:rPr>
          <w:rFonts w:ascii="Calibri" w:hAnsi="Calibri" w:eastAsia="Calibri"/>
          <w:sz w:val="22"/>
        </w:rPr>
        <w:t xml:space="preserve">, </w:t>
      </w:r>
      <w:r>
        <w:rPr>
          <w:rFonts w:ascii="Calibri" w:hAnsi="Calibri" w:eastAsia="Calibri"/>
          <w:sz w:val="22"/>
          <w:highlight w:val="yellow"/>
        </w:rPr>
        <w:t>[l’assemblée / la collectivité des associés / l’associé unique]</w:t>
      </w:r>
      <w:r>
        <w:rPr>
          <w:rFonts w:ascii="Calibri" w:hAnsi="Calibri" w:eastAsia="Calibri"/>
          <w:sz w:val="22"/>
        </w:rPr>
        <w:t xml:space="preserve"> décide de remplacer, à compter du </w:t>
      </w:r>
      <w:r>
        <w:rPr>
          <w:rFonts w:ascii="Calibri" w:hAnsi="Calibri" w:eastAsia="Calibri"/>
          <w:sz w:val="22"/>
          <w:highlight w:val="yellow"/>
        </w:rPr>
        <w:t>[date]</w:t>
      </w:r>
      <w:r>
        <w:rPr>
          <w:rFonts w:ascii="Calibri" w:hAnsi="Calibri" w:eastAsia="Calibri"/>
          <w:sz w:val="22"/>
        </w:rPr>
        <w:t xml:space="preserve">, la dénomination sociale « </w:t>
      </w:r>
      <w:r>
        <w:rPr>
          <w:rFonts w:ascii="Calibri" w:hAnsi="Calibri" w:eastAsia="Calibri"/>
          <w:sz w:val="22"/>
          <w:highlight w:val="yellow"/>
        </w:rPr>
        <w:t>[ANCIENNE DÉNOMINATION]</w:t>
      </w:r>
      <w:r>
        <w:rPr>
          <w:rFonts w:ascii="Calibri" w:hAnsi="Calibri" w:eastAsia="Calibri"/>
          <w:sz w:val="22"/>
        </w:rPr>
        <w:t xml:space="preserve"> » par « </w:t>
      </w:r>
      <w:r>
        <w:rPr>
          <w:rFonts w:ascii="Calibri" w:hAnsi="Calibri" w:eastAsia="Calibri"/>
          <w:sz w:val="22"/>
          <w:highlight w:val="yellow"/>
        </w:rPr>
        <w:t>[NOUVELLE DÉNOMINATION]</w:t>
      </w:r>
      <w:r>
        <w:rPr>
          <w:rFonts w:ascii="Calibri" w:hAnsi="Calibri" w:eastAsia="Calibri"/>
          <w:sz w:val="22"/>
        </w:rPr>
        <w:t xml:space="preserve"> »</w:t>
      </w:r>
      <w:r>
        <w:rPr>
          <w:rFonts w:ascii="Calibri" w:hAnsi="Calibri" w:eastAsia="Calibri"/>
          <w:sz w:val="22"/>
          <w:highlight w:val="yellow"/>
        </w:rPr>
        <w:t>[ et d’adopter le sigle « … »]</w:t>
      </w:r>
      <w:r>
        <w:rPr>
          <w:rFonts w:ascii="Calibri" w:hAnsi="Calibri" w:eastAsia="Calibri"/>
          <w:sz w:val="22"/>
        </w:rPr>
        <w:t>.</w:t>
      </w:r>
    </w:p>
    <w:p>
      <w:pPr>
        <w:spacing w:after="80" w:before="0"/>
        <w:jc w:val="both"/>
      </w:pPr>
      <w:r>
        <w:rPr>
          <w:rFonts w:ascii="Calibri" w:hAnsi="Calibri" w:eastAsia="Calibri"/>
          <w:sz w:val="22"/>
        </w:rPr>
        <w:t xml:space="preserve">En conséquence, l’article </w:t>
      </w:r>
      <w:r>
        <w:rPr>
          <w:rFonts w:ascii="Calibri" w:hAnsi="Calibri" w:eastAsia="Calibri"/>
          <w:sz w:val="22"/>
          <w:highlight w:val="yellow"/>
        </w:rPr>
        <w:t>[numéro]</w:t>
      </w:r>
      <w:r>
        <w:rPr>
          <w:rFonts w:ascii="Calibri" w:hAnsi="Calibri" w:eastAsia="Calibri"/>
          <w:sz w:val="22"/>
        </w:rPr>
        <w:t xml:space="preserve"> des statuts est désormais rédigé ainsi :</w:t>
      </w:r>
    </w:p>
    <w:p>
      <w:pPr>
        <w:spacing w:after="160" w:before="0"/>
        <w:jc w:val="both"/>
      </w:pPr>
      <w:r>
        <w:rPr>
          <w:rFonts w:ascii="Calibri" w:hAnsi="Calibri" w:eastAsia="Calibri"/>
          <w:i/>
          <w:sz w:val="22"/>
        </w:rPr>
        <w:t xml:space="preserve">« Article </w:t>
      </w:r>
      <w:r>
        <w:rPr>
          <w:rFonts w:ascii="Calibri" w:hAnsi="Calibri" w:eastAsia="Calibri"/>
          <w:sz w:val="22"/>
          <w:highlight w:val="yellow"/>
        </w:rPr>
        <w:t>[numéro]</w:t>
      </w:r>
      <w:r>
        <w:rPr>
          <w:rFonts w:ascii="Calibri" w:hAnsi="Calibri" w:eastAsia="Calibri"/>
          <w:i/>
          <w:sz w:val="22"/>
        </w:rPr>
        <w:t xml:space="preserve"> — Dénomination. La dénomination de la société est : </w:t>
      </w:r>
      <w:r>
        <w:rPr>
          <w:rFonts w:ascii="Calibri" w:hAnsi="Calibri" w:eastAsia="Calibri"/>
          <w:sz w:val="22"/>
          <w:highlight w:val="yellow"/>
        </w:rPr>
        <w:t>[NOUVELLE DÉNOMINATION]</w:t>
      </w:r>
      <w:r>
        <w:rPr>
          <w:rFonts w:ascii="Calibri" w:hAnsi="Calibri" w:eastAsia="Calibri"/>
          <w:i/>
          <w:sz w:val="22"/>
        </w:rPr>
        <w:t xml:space="preserve">. Dans tous les actes et documents émanant de la société et destinés aux tiers, la dénomination est précédée ou suivie </w:t>
      </w:r>
      <w:r>
        <w:rPr>
          <w:rFonts w:ascii="Calibri" w:hAnsi="Calibri" w:eastAsia="Calibri"/>
          <w:sz w:val="22"/>
          <w:highlight w:val="yellow"/>
        </w:rPr>
        <w:t>[SARL : immédiatement des mots « société à responsabilité limitée » ou des initiales « SARL » et de l’énonciation du capital social / SAS : de la mention de la forme de la société et du montant du capital social / SCI : reprendre la clause des statuts en vigueur ou supprimer cette phrase]</w:t>
      </w:r>
      <w:r>
        <w:rPr>
          <w:rFonts w:ascii="Calibri" w:hAnsi="Calibri" w:eastAsia="Calibri"/>
          <w:i/>
          <w:sz w:val="22"/>
        </w:rPr>
        <w:t>. »</w:t>
      </w:r>
    </w:p>
    <w:p>
      <w:pPr>
        <w:spacing w:after="160" w:before="0"/>
        <w:jc w:val="both"/>
      </w:pPr>
      <w:r>
        <w:rPr>
          <w:rFonts w:ascii="Calibri" w:hAnsi="Calibri" w:eastAsia="Calibri"/>
          <w:sz w:val="22"/>
        </w:rPr>
        <w:t xml:space="preserve">Le nom commercial et l’enseigne </w:t>
      </w:r>
      <w:r>
        <w:rPr>
          <w:rFonts w:ascii="Calibri" w:hAnsi="Calibri" w:eastAsia="Calibri"/>
          <w:sz w:val="22"/>
          <w:highlight w:val="yellow"/>
        </w:rPr>
        <w:t>[sont modifiés en conséquence / demeurent inchangés]</w:t>
      </w:r>
      <w:r>
        <w:rPr>
          <w:rFonts w:ascii="Calibri" w:hAnsi="Calibri" w:eastAsia="Calibri"/>
          <w:sz w:val="22"/>
        </w:rPr>
        <w:t>.</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requise </w:t>
      </w:r>
      <w:r>
        <w:rPr>
          <w:rFonts w:ascii="Calibri" w:hAnsi="Calibri" w:eastAsia="Calibri"/>
          <w:sz w:val="22"/>
          <w:highlight w:val="yellow"/>
        </w:rPr>
        <w:t>[par l’article L. 223-30 du code de commerce (SARL) / par l’article … des statuts (SAS) / par l’article … des statuts ou, à défaut, à l’unanimité (SCI : C. civ., art. 1836)]</w:t>
      </w:r>
      <w:r>
        <w:rPr>
          <w:rFonts w:ascii="Calibri" w:hAnsi="Calibri" w:eastAsia="Calibri"/>
          <w:sz w:val="22"/>
          <w:highlight w:val="yellow"/>
        </w:rPr>
        <w:t>[ — ou : Décision prise par l’associé unique]</w:t>
      </w:r>
      <w:r>
        <w:rPr>
          <w:rFonts w:ascii="Calibri" w:hAnsi="Calibri" w:eastAsia="Calibri"/>
          <w:sz w:val="22"/>
        </w:rPr>
        <w:t>.</w:t>
      </w:r>
    </w:p>
    <w:p>
      <w:pPr>
        <w:spacing w:after="120" w:before="0"/>
      </w:pPr>
      <w:r>
        <w:rPr>
          <w:rFonts w:ascii="Calibri" w:hAnsi="Calibri" w:eastAsia="Calibri"/>
          <w:b/>
          <w:sz w:val="22"/>
        </w:rPr>
        <w:t xml:space="preserve">DEUXIÈME RÉSOLUTION — </w:t>
      </w:r>
      <w:r>
        <w:rPr>
          <w:rFonts w:ascii="Calibri" w:hAnsi="Calibri" w:eastAsia="Calibri"/>
          <w:b/>
          <w:sz w:val="22"/>
        </w:rPr>
        <w:t>Modification de l’objet social</w:t>
      </w:r>
    </w:p>
    <w:p>
      <w:pPr>
        <w:spacing w:after="120" w:before="0"/>
        <w:jc w:val="both"/>
      </w:pPr>
      <w:r>
        <w:rPr>
          <w:rFonts w:ascii="Calibri" w:hAnsi="Calibri" w:eastAsia="Calibri"/>
          <w:b/>
          <w:sz w:val="22"/>
          <w:highlight w:val="yellow"/>
        </w:rPr>
        <w:t>[Option A — extension]</w:t>
      </w:r>
      <w:r>
        <w:rPr>
          <w:rFonts w:ascii="Calibri" w:hAnsi="Calibri" w:eastAsia="Calibri"/>
          <w:sz w:val="22"/>
        </w:rPr>
        <w:t xml:space="preserve"> </w:t>
      </w:r>
      <w:r>
        <w:rPr>
          <w:rFonts w:ascii="Calibri" w:hAnsi="Calibri" w:eastAsia="Calibri"/>
          <w:sz w:val="22"/>
        </w:rPr>
        <w:t xml:space="preserve">L’objet social est étendu aux activités suivantes : </w:t>
      </w:r>
      <w:r>
        <w:rPr>
          <w:rFonts w:ascii="Calibri" w:hAnsi="Calibri" w:eastAsia="Calibri"/>
          <w:sz w:val="22"/>
          <w:highlight w:val="yellow"/>
        </w:rPr>
        <w:t>[description précise des activités ajoutées]</w:t>
      </w:r>
      <w:r>
        <w:rPr>
          <w:rFonts w:ascii="Calibri" w:hAnsi="Calibri" w:eastAsia="Calibri"/>
          <w:sz w:val="22"/>
        </w:rPr>
        <w:t>.</w:t>
      </w:r>
    </w:p>
    <w:p>
      <w:pPr>
        <w:spacing w:after="120" w:before="0"/>
        <w:jc w:val="both"/>
      </w:pPr>
      <w:r>
        <w:rPr>
          <w:rFonts w:ascii="Calibri" w:hAnsi="Calibri" w:eastAsia="Calibri"/>
          <w:b/>
          <w:sz w:val="22"/>
          <w:highlight w:val="yellow"/>
        </w:rPr>
        <w:t>[Option B — remplacement]</w:t>
      </w:r>
      <w:r>
        <w:rPr>
          <w:rFonts w:ascii="Calibri" w:hAnsi="Calibri" w:eastAsia="Calibri"/>
          <w:sz w:val="22"/>
        </w:rPr>
        <w:t xml:space="preserve"> </w:t>
      </w:r>
      <w:r>
        <w:rPr>
          <w:rFonts w:ascii="Calibri" w:hAnsi="Calibri" w:eastAsia="Calibri"/>
          <w:sz w:val="22"/>
        </w:rPr>
        <w:t xml:space="preserve">L’objet social est remplacé, à compter du </w:t>
      </w:r>
      <w:r>
        <w:rPr>
          <w:rFonts w:ascii="Calibri" w:hAnsi="Calibri" w:eastAsia="Calibri"/>
          <w:sz w:val="22"/>
          <w:highlight w:val="yellow"/>
        </w:rPr>
        <w:t>[date]</w:t>
      </w:r>
      <w:r>
        <w:rPr>
          <w:rFonts w:ascii="Calibri" w:hAnsi="Calibri" w:eastAsia="Calibri"/>
          <w:sz w:val="22"/>
        </w:rPr>
        <w:t xml:space="preserve">, par le suivant : </w:t>
      </w:r>
      <w:r>
        <w:rPr>
          <w:rFonts w:ascii="Calibri" w:hAnsi="Calibri" w:eastAsia="Calibri"/>
          <w:sz w:val="22"/>
          <w:highlight w:val="yellow"/>
        </w:rPr>
        <w:t>[description]</w:t>
      </w:r>
      <w:r>
        <w:rPr>
          <w:rFonts w:ascii="Calibri" w:hAnsi="Calibri" w:eastAsia="Calibri"/>
          <w:sz w:val="22"/>
        </w:rPr>
        <w:t>.</w:t>
      </w:r>
    </w:p>
    <w:p>
      <w:pPr>
        <w:spacing w:after="120" w:before="0"/>
        <w:jc w:val="both"/>
      </w:pPr>
      <w:r>
        <w:rPr>
          <w:rFonts w:ascii="Calibri" w:hAnsi="Calibri" w:eastAsia="Calibri"/>
          <w:b/>
          <w:sz w:val="22"/>
          <w:highlight w:val="yellow"/>
        </w:rPr>
        <w:t>[Option C — réduction]</w:t>
      </w:r>
      <w:r>
        <w:rPr>
          <w:rFonts w:ascii="Calibri" w:hAnsi="Calibri" w:eastAsia="Calibri"/>
          <w:sz w:val="22"/>
        </w:rPr>
        <w:t xml:space="preserve"> </w:t>
      </w:r>
      <w:r>
        <w:rPr>
          <w:rFonts w:ascii="Calibri" w:hAnsi="Calibri" w:eastAsia="Calibri"/>
          <w:sz w:val="22"/>
        </w:rPr>
        <w:t xml:space="preserve">Les activités suivantes sont retirées de l’objet social : </w:t>
      </w:r>
      <w:r>
        <w:rPr>
          <w:rFonts w:ascii="Calibri" w:hAnsi="Calibri" w:eastAsia="Calibri"/>
          <w:sz w:val="22"/>
          <w:highlight w:val="yellow"/>
        </w:rPr>
        <w:t>[…]</w:t>
      </w:r>
      <w:r>
        <w:rPr>
          <w:rFonts w:ascii="Calibri" w:hAnsi="Calibri" w:eastAsia="Calibri"/>
          <w:sz w:val="22"/>
        </w:rPr>
        <w:t>.</w:t>
      </w:r>
    </w:p>
    <w:p>
      <w:pPr>
        <w:spacing w:after="80" w:before="0"/>
        <w:jc w:val="both"/>
      </w:pPr>
      <w:r>
        <w:rPr>
          <w:rFonts w:ascii="Calibri" w:hAnsi="Calibri" w:eastAsia="Calibri"/>
          <w:sz w:val="22"/>
        </w:rPr>
        <w:t xml:space="preserve">En conséquence, l’article </w:t>
      </w:r>
      <w:r>
        <w:rPr>
          <w:rFonts w:ascii="Calibri" w:hAnsi="Calibri" w:eastAsia="Calibri"/>
          <w:sz w:val="22"/>
          <w:highlight w:val="yellow"/>
        </w:rPr>
        <w:t>[numéro]</w:t>
      </w:r>
      <w:r>
        <w:rPr>
          <w:rFonts w:ascii="Calibri" w:hAnsi="Calibri" w:eastAsia="Calibri"/>
          <w:sz w:val="22"/>
        </w:rPr>
        <w:t xml:space="preserve"> des statuts est désormais rédigé ainsi :</w:t>
      </w:r>
    </w:p>
    <w:p>
      <w:pPr>
        <w:spacing w:after="160" w:before="0"/>
        <w:jc w:val="both"/>
      </w:pPr>
      <w:r>
        <w:rPr>
          <w:rFonts w:ascii="Calibri" w:hAnsi="Calibri" w:eastAsia="Calibri"/>
          <w:i/>
          <w:sz w:val="22"/>
        </w:rPr>
        <w:t xml:space="preserve">« Article </w:t>
      </w:r>
      <w:r>
        <w:rPr>
          <w:rFonts w:ascii="Calibri" w:hAnsi="Calibri" w:eastAsia="Calibri"/>
          <w:sz w:val="22"/>
          <w:highlight w:val="yellow"/>
        </w:rPr>
        <w:t>[numéro]</w:t>
      </w:r>
      <w:r>
        <w:rPr>
          <w:rFonts w:ascii="Calibri" w:hAnsi="Calibri" w:eastAsia="Calibri"/>
          <w:i/>
          <w:sz w:val="22"/>
        </w:rPr>
        <w:t xml:space="preserve"> — Objet. La société a pour objet, </w:t>
      </w:r>
      <w:r>
        <w:rPr>
          <w:rFonts w:ascii="Calibri" w:hAnsi="Calibri" w:eastAsia="Calibri"/>
          <w:sz w:val="22"/>
          <w:highlight w:val="yellow"/>
        </w:rPr>
        <w:t>[en France et à l’étranger]</w:t>
      </w:r>
      <w:r>
        <w:rPr>
          <w:rFonts w:ascii="Calibri" w:hAnsi="Calibri" w:eastAsia="Calibri"/>
          <w:i/>
          <w:sz w:val="22"/>
        </w:rPr>
        <w:t xml:space="preserve"> : </w:t>
      </w:r>
      <w:r>
        <w:rPr>
          <w:rFonts w:ascii="Calibri" w:hAnsi="Calibri" w:eastAsia="Calibri"/>
          <w:sz w:val="22"/>
          <w:highlight w:val="yellow"/>
        </w:rPr>
        <w:t>[activité 1 ; activité 2 ; …]</w:t>
      </w:r>
      <w:r>
        <w:rPr>
          <w:rFonts w:ascii="Calibri" w:hAnsi="Calibri" w:eastAsia="Calibri"/>
          <w:i/>
          <w:sz w:val="22"/>
        </w:rPr>
        <w:t xml:space="preserve"> ; et, plus généralement, toutes opérations </w:t>
      </w:r>
      <w:r>
        <w:rPr>
          <w:rFonts w:ascii="Calibri" w:hAnsi="Calibri" w:eastAsia="Calibri"/>
          <w:sz w:val="22"/>
          <w:highlight w:val="yellow"/>
        </w:rPr>
        <w:t>[SARL / SAS : industrielles, commerciales, financières, mobilières ou immobilières / SCI : mobilières ou immobilières de nature civile]</w:t>
      </w:r>
      <w:r>
        <w:rPr>
          <w:rFonts w:ascii="Calibri" w:hAnsi="Calibri" w:eastAsia="Calibri"/>
          <w:i/>
          <w:sz w:val="22"/>
        </w:rPr>
        <w:t xml:space="preserve"> se rattachant directement ou indirectement à cet objet ou susceptibles d’en faciliter la réalisation. »</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requise </w:t>
      </w:r>
      <w:r>
        <w:rPr>
          <w:rFonts w:ascii="Calibri" w:hAnsi="Calibri" w:eastAsia="Calibri"/>
          <w:sz w:val="22"/>
          <w:highlight w:val="yellow"/>
        </w:rPr>
        <w:t>[par l’article L. 223-30 du code de commerce (SARL) / par l’article … des statuts (SAS) / par l’article … des statuts ou, à défaut, à l’unanimité (SCI : C. civ., art. 1836)]</w:t>
      </w:r>
      <w:r>
        <w:rPr>
          <w:rFonts w:ascii="Calibri" w:hAnsi="Calibri" w:eastAsia="Calibri"/>
          <w:sz w:val="22"/>
          <w:highlight w:val="yellow"/>
        </w:rPr>
        <w:t>[ — ou : Décision prise par l’associé unique]</w:t>
      </w:r>
      <w:r>
        <w:rPr>
          <w:rFonts w:ascii="Calibri" w:hAnsi="Calibri" w:eastAsia="Calibri"/>
          <w:sz w:val="22"/>
        </w:rPr>
        <w:t>.</w:t>
      </w:r>
    </w:p>
    <w:p>
      <w:pPr>
        <w:spacing w:after="120" w:before="0"/>
      </w:pPr>
      <w:r>
        <w:rPr>
          <w:rFonts w:ascii="Calibri" w:hAnsi="Calibri" w:eastAsia="Calibri"/>
          <w:b/>
          <w:sz w:val="22"/>
        </w:rPr>
        <w:t xml:space="preserve">TROISIÈME RÉSOLUTION — </w:t>
      </w:r>
      <w:r>
        <w:rPr>
          <w:rFonts w:ascii="Calibri" w:hAnsi="Calibri" w:eastAsia="Calibri"/>
          <w:b/>
          <w:sz w:val="22"/>
        </w:rPr>
        <w:t>Pouvoirs pour les formalités</w:t>
      </w:r>
    </w:p>
    <w:p>
      <w:pPr>
        <w:spacing w:after="160" w:before="0"/>
        <w:jc w:val="both"/>
      </w:pPr>
      <w:r>
        <w:rPr>
          <w:rFonts w:ascii="Calibri" w:hAnsi="Calibri" w:eastAsia="Calibri"/>
          <w:sz w:val="22"/>
        </w:rPr>
        <w:t xml:space="preserve">Tous pouvoirs sont donnés </w:t>
      </w:r>
      <w:r>
        <w:rPr>
          <w:rFonts w:ascii="Calibri" w:hAnsi="Calibri" w:eastAsia="Calibri"/>
          <w:sz w:val="22"/>
          <w:highlight w:val="yellow"/>
        </w:rPr>
        <w:t>[à la gérance / au Président]</w:t>
      </w:r>
      <w:r>
        <w:rPr>
          <w:rFonts w:ascii="Calibri" w:hAnsi="Calibri" w:eastAsia="Calibri"/>
          <w:sz w:val="22"/>
        </w:rPr>
        <w:t xml:space="preserve"> et au porteur d’un original, d’une copie ou d’un extrait du présent procès-verbal pour accomplir les formalités de publicité, de dépôt et de déclaration, et pour mettre à jour les documents de la société.</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à la majorité requise</w:t>
      </w:r>
      <w:r>
        <w:rPr>
          <w:rFonts w:ascii="Calibri" w:hAnsi="Calibri" w:eastAsia="Calibri"/>
          <w:sz w:val="22"/>
          <w:highlight w:val="yellow"/>
        </w:rPr>
        <w:t>[ — ou : Décision prise par l’associé unique]</w:t>
      </w:r>
      <w:r>
        <w:rPr>
          <w:rFonts w:ascii="Calibri" w:hAnsi="Calibri" w:eastAsia="Calibri"/>
          <w:sz w:val="22"/>
        </w:rPr>
        <w:t>.</w:t>
      </w:r>
    </w:p>
    <w:p>
      <w:pPr>
        <w:spacing w:after="320" w:before="0"/>
        <w:jc w:val="both"/>
      </w:pPr>
      <w:r>
        <w:rPr>
          <w:rFonts w:ascii="Calibri" w:hAnsi="Calibri" w:eastAsia="Calibri"/>
          <w:sz w:val="22"/>
        </w:rPr>
        <w:t xml:space="preserve">De tout ce que dessus, il a été dressé le présent procès-verbal, </w:t>
      </w:r>
      <w:r>
        <w:rPr>
          <w:rFonts w:ascii="Calibri" w:hAnsi="Calibri" w:eastAsia="Calibri"/>
          <w:sz w:val="22"/>
          <w:highlight w:val="yellow"/>
        </w:rPr>
        <w:t>[établi sur le registre des procès-verbaux / consigné dans le registre des décisions]</w:t>
      </w:r>
      <w:r>
        <w:rPr>
          <w:rFonts w:ascii="Calibri" w:hAnsi="Calibri" w:eastAsia="Calibri"/>
          <w:sz w:val="22"/>
        </w:rPr>
        <w:t xml:space="preserve"> et signé par </w:t>
      </w:r>
      <w:r>
        <w:rPr>
          <w:rFonts w:ascii="Calibri" w:hAnsi="Calibri" w:eastAsia="Calibri"/>
          <w:sz w:val="22"/>
          <w:highlight w:val="yellow"/>
        </w:rPr>
        <w:t>[le président de séance et le ou les gérants / le Président / l’associé unique]</w:t>
      </w:r>
      <w:r>
        <w:rPr>
          <w:rFonts w:ascii="Calibri" w:hAnsi="Calibri" w:eastAsia="Calibri"/>
          <w:sz w:val="22"/>
        </w:rPr>
        <w:t>.</w:t>
      </w:r>
    </w:p>
    <w:p>
      <w:pPr>
        <w:spacing w:after="40" w:before="0"/>
      </w:pPr>
      <w:r>
        <w:rPr>
          <w:rFonts w:ascii="Calibri" w:hAnsi="Calibri" w:eastAsia="Calibri"/>
          <w:b/>
          <w:sz w:val="22"/>
        </w:rPr>
        <w:t>Le président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Le(s) gérant(s) / le Président</w:t>
      </w:r>
    </w:p>
    <w:p>
      <w:pPr>
        <w:spacing w:after="280" w:before="0"/>
      </w:pPr>
      <w:r>
        <w:rPr>
          <w:rFonts w:ascii="Calibri" w:hAnsi="Calibri" w:eastAsia="Calibri"/>
          <w:sz w:val="22"/>
          <w:highlight w:val="yellow"/>
        </w:rPr>
        <w:t>[Prénom NOM — signature]</w:t>
      </w:r>
    </w:p>
    <w:p>
      <w:r>
        <w:br w:type="page"/>
      </w:r>
    </w:p>
    <w:p>
      <w:pPr>
        <w:spacing w:after="40" w:before="0"/>
        <w:jc w:val="center"/>
      </w:pPr>
      <w:r>
        <w:rPr>
          <w:rFonts w:ascii="Calibri" w:hAnsi="Calibri" w:eastAsia="Calibri"/>
          <w:b/>
          <w:sz w:val="24"/>
        </w:rPr>
        <w:t>ANNEXE — PROJET D’AVIS DE MODIFICATION</w:t>
      </w:r>
    </w:p>
    <w:p>
      <w:pPr>
        <w:spacing w:after="280" w:before="0"/>
        <w:jc w:val="center"/>
      </w:pPr>
      <w:r>
        <w:rPr>
          <w:rFonts w:ascii="Calibri" w:hAnsi="Calibri" w:eastAsia="Calibri"/>
          <w:i/>
          <w:sz w:val="22"/>
        </w:rPr>
        <w:t>à publier dans un support habilité à recevoir les annonces légales du département du siège</w:t>
      </w:r>
    </w:p>
    <w:p>
      <w:pPr>
        <w:spacing w:after="160" w:before="0"/>
        <w:jc w:val="both"/>
      </w:pPr>
      <w:r>
        <w:rPr>
          <w:rFonts w:ascii="Calibri" w:hAnsi="Calibri" w:eastAsia="Calibri"/>
          <w:b/>
          <w:sz w:val="22"/>
          <w:highlight w:val="yellow"/>
        </w:rPr>
        <w:t>[NOUVELLE DÉNOMINATION]</w:t>
      </w:r>
      <w:r>
        <w:rPr>
          <w:rFonts w:ascii="Calibri" w:hAnsi="Calibri" w:eastAsia="Calibri"/>
          <w:sz w:val="22"/>
        </w:rPr>
        <w:t xml:space="preserve"> — </w:t>
      </w:r>
      <w:r>
        <w:rPr>
          <w:rFonts w:ascii="Calibri" w:hAnsi="Calibri" w:eastAsia="Calibri"/>
          <w:sz w:val="22"/>
          <w:highlight w:val="yellow"/>
        </w:rPr>
        <w:t>[forme]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 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w:t>
      </w:r>
    </w:p>
    <w:p>
      <w:pPr>
        <w:spacing w:after="80" w:before="0"/>
        <w:jc w:val="both"/>
      </w:pPr>
      <w:r>
        <w:rPr>
          <w:rFonts w:ascii="Calibri" w:hAnsi="Calibri" w:eastAsia="Calibri"/>
          <w:sz w:val="22"/>
        </w:rPr>
        <w:t xml:space="preserve">Aux termes </w:t>
      </w:r>
      <w:r>
        <w:rPr>
          <w:rFonts w:ascii="Calibri" w:hAnsi="Calibri" w:eastAsia="Calibri"/>
          <w:sz w:val="22"/>
          <w:highlight w:val="yellow"/>
        </w:rPr>
        <w:t>[d’une délibération de l’assemblée générale extraordinaire / de décisions collectives / de décisions de l’associé unique]</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rPr>
        <w:t xml:space="preserve">la dénomination sociale a été modifiée. Ancienne mention : « </w:t>
      </w:r>
      <w:r>
        <w:rPr>
          <w:rFonts w:ascii="Calibri" w:hAnsi="Calibri" w:eastAsia="Calibri"/>
          <w:sz w:val="22"/>
          <w:highlight w:val="yellow"/>
        </w:rPr>
        <w:t>[ANCIENNE DÉNOMINATION]</w:t>
      </w:r>
      <w:r>
        <w:rPr>
          <w:rFonts w:ascii="Calibri" w:hAnsi="Calibri" w:eastAsia="Calibri"/>
          <w:sz w:val="22"/>
        </w:rPr>
        <w:t xml:space="preserve"> ». Nouvelle mention : « </w:t>
      </w:r>
      <w:r>
        <w:rPr>
          <w:rFonts w:ascii="Calibri" w:hAnsi="Calibri" w:eastAsia="Calibri"/>
          <w:sz w:val="22"/>
          <w:highlight w:val="yellow"/>
        </w:rPr>
        <w:t>[NOUVELLE DÉNOMINATION]</w:t>
      </w:r>
      <w:r>
        <w:rPr>
          <w:rFonts w:ascii="Calibri" w:hAnsi="Calibri" w:eastAsia="Calibri"/>
          <w:sz w:val="22"/>
        </w:rPr>
        <w:t xml:space="preserve"> » ;</w:t>
      </w:r>
    </w:p>
    <w:p>
      <w:pPr>
        <w:spacing w:after="120" w:before="0"/>
        <w:jc w:val="both"/>
      </w:pPr>
      <w:r>
        <w:rPr>
          <w:rFonts w:ascii="Calibri" w:hAnsi="Calibri" w:eastAsia="Calibri"/>
          <w:sz w:val="22"/>
        </w:rPr>
        <w:t xml:space="preserve">– </w:t>
      </w:r>
      <w:r>
        <w:rPr>
          <w:rFonts w:ascii="Calibri" w:hAnsi="Calibri" w:eastAsia="Calibri"/>
          <w:sz w:val="22"/>
        </w:rPr>
        <w:t xml:space="preserve">l’objet social a été modifié. Ancienne mention : </w:t>
      </w:r>
      <w:r>
        <w:rPr>
          <w:rFonts w:ascii="Calibri" w:hAnsi="Calibri" w:eastAsia="Calibri"/>
          <w:sz w:val="22"/>
          <w:highlight w:val="yellow"/>
        </w:rPr>
        <w:t>[objet résumé]</w:t>
      </w:r>
      <w:r>
        <w:rPr>
          <w:rFonts w:ascii="Calibri" w:hAnsi="Calibri" w:eastAsia="Calibri"/>
          <w:sz w:val="22"/>
        </w:rPr>
        <w:t xml:space="preserve">. Nouvelle mention : </w:t>
      </w:r>
      <w:r>
        <w:rPr>
          <w:rFonts w:ascii="Calibri" w:hAnsi="Calibri" w:eastAsia="Calibri"/>
          <w:sz w:val="22"/>
          <w:highlight w:val="yellow"/>
        </w:rPr>
        <w:t>[objet résumé]</w:t>
      </w:r>
      <w:r>
        <w:rPr>
          <w:rFonts w:ascii="Calibri" w:hAnsi="Calibri" w:eastAsia="Calibri"/>
          <w:sz w:val="22"/>
        </w:rPr>
        <w:t>.</w:t>
      </w:r>
    </w:p>
    <w:p>
      <w:pPr>
        <w:spacing w:after="160" w:before="0"/>
        <w:jc w:val="both"/>
      </w:pPr>
      <w:r>
        <w:rPr>
          <w:rFonts w:ascii="Calibri" w:hAnsi="Calibri" w:eastAsia="Calibri"/>
          <w:sz w:val="22"/>
        </w:rPr>
        <w:t xml:space="preserve">Les articles </w:t>
      </w:r>
      <w:r>
        <w:rPr>
          <w:rFonts w:ascii="Calibri" w:hAnsi="Calibri" w:eastAsia="Calibri"/>
          <w:sz w:val="22"/>
          <w:highlight w:val="yellow"/>
        </w:rPr>
        <w:t>[numéros]</w:t>
      </w:r>
      <w:r>
        <w:rPr>
          <w:rFonts w:ascii="Calibri" w:hAnsi="Calibri" w:eastAsia="Calibri"/>
          <w:sz w:val="22"/>
        </w:rPr>
        <w:t xml:space="preserve"> des statuts ont été modifiés en conséquence. Mention en sera faite au registre du commerce et des sociétés de </w:t>
      </w:r>
      <w:r>
        <w:rPr>
          <w:rFonts w:ascii="Calibri" w:hAnsi="Calibri" w:eastAsia="Calibri"/>
          <w:sz w:val="22"/>
          <w:highlight w:val="yellow"/>
        </w:rPr>
        <w:t>[ville]</w:t>
      </w:r>
      <w:r>
        <w:rPr>
          <w:rFonts w:ascii="Calibri" w:hAnsi="Calibri" w:eastAsia="Calibri"/>
          <w:sz w:val="22"/>
        </w:rPr>
        <w:t>.</w:t>
      </w:r>
    </w:p>
    <w:p>
      <w:pPr>
        <w:spacing w:after="160" w:before="0"/>
        <w:jc w:val="both"/>
      </w:pPr>
      <w:r>
        <w:rPr>
          <w:rFonts w:ascii="Calibri" w:hAnsi="Calibri" w:eastAsia="Calibri"/>
          <w:sz w:val="22"/>
        </w:rPr>
        <w:t xml:space="preserve">Pour avis, </w:t>
      </w:r>
      <w:r>
        <w:rPr>
          <w:rFonts w:ascii="Calibri" w:hAnsi="Calibri" w:eastAsia="Calibri"/>
          <w:sz w:val="22"/>
          <w:highlight w:val="yellow"/>
        </w:rPr>
        <w:t>[la gérance / le Président]</w:t>
      </w:r>
      <w:r>
        <w:rPr>
          <w:rFonts w:ascii="Calibri" w:hAnsi="Calibri" w:eastAsia="Calibri"/>
          <w:sz w:val="22"/>
        </w:rPr>
        <w:t>.</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Changer la dénomination ou l’objet modifie les statuts : choisissez l’organe et la majorité dans le tableau ci-dessous, puis relisez la clause statutaire. Pour une SARL, contrôlez la date de constitution. SARL constituée après la publication de la loi n° 2005-882 du 2 août 2005 (ou placée sous ce régime à l’unanimité) : les statuts peuvent prévoir des quorums ou une majorité plus élevés, sans pouvoir, pour la majorité, exiger l’unanimité (C. com., art. L. 223-30, al. 3). SARL plus ancienne : trois quarts des parts sociales, sans quorum légal ; toute clause exigeant une majorité plus élevée est réputée non écrite (art. L. 223-30, al. 2). Dans une SAS ou une SCI, les conditions viennent des statuts (C. com., art. L. 227-9 ; C. civ., art. 1836).</w:t>
      </w:r>
    </w:p>
    <w:p>
      <w:pPr>
        <w:spacing w:after="100" w:before="0"/>
        <w:jc w:val="both"/>
      </w:pPr>
      <w:r>
        <w:rPr>
          <w:rFonts w:ascii="Calibri" w:hAnsi="Calibri" w:eastAsia="Calibri"/>
          <w:color w:val="374151"/>
          <w:sz w:val="20"/>
        </w:rPr>
        <w:t>• Dénomination : faites une recherche d’antériorité (dénominations, marques, noms de domaine), par exemple sur les bases de l’INPI, afin de limiter le risque de conflit avec des droits antérieurs. Le simple changement de nom commercial ou d’enseigne ne nécessite ni décision collective ni annonce, sauf clause statutaire.</w:t>
      </w:r>
    </w:p>
    <w:p>
      <w:pPr>
        <w:spacing w:after="100" w:before="0"/>
        <w:jc w:val="both"/>
      </w:pPr>
      <w:r>
        <w:rPr>
          <w:rFonts w:ascii="Calibri" w:hAnsi="Calibri" w:eastAsia="Calibri"/>
          <w:color w:val="374151"/>
          <w:sz w:val="20"/>
        </w:rPr>
        <w:t>• Mentions obligatoires : la dénomination d’une SARL est précédée ou suivie immédiatement des mots « société à responsabilité limitée » ou « SARL » et de l’énonciation du capital (C. com., art. L. 223-1) ; celle d’une société par actions, de la mention de la forme et du montant du capital (art. L. 224-1). Mettez à jour papier à lettres, factures, site internet (C. com., art. R. 123-237), contrats, comptes bancaires et assurances.</w:t>
      </w:r>
    </w:p>
    <w:p>
      <w:pPr>
        <w:spacing w:after="100" w:before="0"/>
        <w:jc w:val="both"/>
      </w:pPr>
      <w:r>
        <w:rPr>
          <w:rFonts w:ascii="Calibri" w:hAnsi="Calibri" w:eastAsia="Calibri"/>
          <w:color w:val="374151"/>
          <w:sz w:val="20"/>
        </w:rPr>
        <w:t>• Objet : rédigez-le de façon suffisamment précise. Dans une SARL ou une SAS, la société reste en principe engagée envers les tiers même par les actes du dirigeant qui dépassent l’objet social (C. com., art. L. 223-18 et L. 227-6) : l’objet y fixe surtout les limites internes de ses pouvoirs (pour la SCI, voir ci-dessous). Si la nouvelle activité est réglementée, renseignez-vous sur ses conditions d’exercice (autorisation, qualification, assurance).</w:t>
      </w:r>
    </w:p>
    <w:p>
      <w:pPr>
        <w:spacing w:after="100" w:before="0"/>
        <w:jc w:val="both"/>
      </w:pPr>
      <w:r>
        <w:rPr>
          <w:rFonts w:ascii="Calibri" w:hAnsi="Calibri" w:eastAsia="Calibri"/>
          <w:color w:val="374151"/>
          <w:sz w:val="20"/>
        </w:rPr>
        <w:t>• SCI : l’objet doit rester civil (C. civ., art. 1845) ; une société civile qui se livre à des opérations commerciales devient passible de l’impôt sur les sociétés (CGI, art. 206, 2). Dans une société civile, au contraire des sociétés commerciales, le gérant n’engage la société envers les tiers que par les actes entrant dans l’objet social (C. civ., art. 1849) : rédigez l’objet avec soin, car il borne aussi les pouvoirs du gérant à l’égard des tiers.</w:t>
      </w:r>
    </w:p>
    <w:p>
      <w:pPr>
        <w:spacing w:after="100" w:before="0"/>
        <w:jc w:val="both"/>
      </w:pPr>
      <w:r>
        <w:rPr>
          <w:rFonts w:ascii="Calibri" w:hAnsi="Calibri" w:eastAsia="Calibri"/>
          <w:color w:val="374151"/>
          <w:sz w:val="20"/>
        </w:rPr>
        <w:t>• Un changement d’activité réelle peut avoir des conséquences fiscales, notamment sur le report des déficits : interrogez le conseil habituel de la société avant de statuer.</w:t>
      </w:r>
    </w:p>
    <w:p>
      <w:pPr>
        <w:spacing w:after="100" w:before="0"/>
        <w:jc w:val="both"/>
      </w:pPr>
      <w:r>
        <w:rPr>
          <w:rFonts w:ascii="Calibri" w:hAnsi="Calibri" w:eastAsia="Calibri"/>
          <w:color w:val="374151"/>
          <w:sz w:val="20"/>
        </w:rPr>
        <w:t>• Annonce légale : l’avis reproduit l’ancienne mention à côté de la nouvelle (C. com., art. R. 210-9). Forfaits 2026 hors taxe en métropole : changement de dénomination 199 € ; changement d’objet 136 €. Attention : une annonce qui regroupe plusieurs de ces modifications perd le forfait et est facturée au caractère (arrêté du 19 novembre 2021 modifié, art. 3) — comparez avec deux annonces séparées.</w:t>
      </w:r>
    </w:p>
    <w:p>
      <w:pPr>
        <w:spacing w:after="100" w:before="0"/>
        <w:jc w:val="both"/>
      </w:pPr>
      <w:r>
        <w:rPr>
          <w:rFonts w:ascii="Calibri" w:hAnsi="Calibri" w:eastAsia="Calibri"/>
          <w:color w:val="374151"/>
          <w:sz w:val="20"/>
        </w:rPr>
        <w:t>• Déclaration au guichet unique (formalites.entreprises.gouv.fr) dans le mois (C. com., art. R. 123-66), avec le procès-verbal, les statuts mis à jour datés et certifiés conformes et l’attestation de parution.</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p>
      <w:pPr>
        <w:spacing w:after="120"/>
      </w:pPr>
    </w:p>
    <w:p>
      <w:pPr>
        <w:spacing w:after="80" w:before="0"/>
      </w:pPr>
      <w:r>
        <w:rPr>
          <w:rFonts w:ascii="Calibri" w:hAnsi="Calibri" w:eastAsia="Calibri"/>
          <w:b/>
          <w:sz w:val="20"/>
        </w:rPr>
        <w:t>Qui décide, et à quelle majorité ?</w:t>
      </w:r>
    </w:p>
    <w:tbl>
      <w:tblPr>
        <w:tblStyle w:val="TableGrid"/>
        <w:tblW w:type="auto" w:w="0"/>
        <w:jc w:val="center"/>
        <w:tblLayout w:type="fixed"/>
        <w:tblLook w:firstColumn="1" w:firstRow="1" w:lastColumn="0" w:lastRow="0" w:noHBand="0" w:noVBand="1" w:val="04A0"/>
      </w:tblPr>
      <w:tblGrid>
        <w:gridCol w:w="1928"/>
        <w:gridCol w:w="2041"/>
        <w:gridCol w:w="3402"/>
        <w:gridCol w:w="1928"/>
      </w:tblGrid>
      <w:tr>
        <w:trPr>
          <w:tblHeader w:val="true"/>
        </w:trPr>
        <w:tc>
          <w:tcPr>
            <w:tcW w:type="dxa" w:w="1928"/>
            <w:shd w:val="clear" w:color="auto" w:fill="E5E7EB"/>
          </w:tcPr>
          <w:p>
            <w:pPr>
              <w:spacing w:after="0" w:before="0"/>
            </w:pPr>
            <w:r>
              <w:rPr>
                <w:rFonts w:ascii="Calibri" w:hAnsi="Calibri" w:eastAsia="Calibri"/>
                <w:b/>
                <w:sz w:val="17"/>
              </w:rPr>
              <w:t>Forme</w:t>
            </w:r>
          </w:p>
        </w:tc>
        <w:tc>
          <w:tcPr>
            <w:tcW w:type="dxa" w:w="2041"/>
            <w:shd w:val="clear" w:color="auto" w:fill="E5E7EB"/>
          </w:tcPr>
          <w:p>
            <w:pPr>
              <w:spacing w:after="0" w:before="0"/>
            </w:pPr>
            <w:r>
              <w:rPr>
                <w:rFonts w:ascii="Calibri" w:hAnsi="Calibri" w:eastAsia="Calibri"/>
                <w:b/>
                <w:sz w:val="17"/>
              </w:rPr>
              <w:t>Organe</w:t>
            </w:r>
          </w:p>
        </w:tc>
        <w:tc>
          <w:tcPr>
            <w:tcW w:type="dxa" w:w="3402"/>
            <w:shd w:val="clear" w:color="auto" w:fill="E5E7EB"/>
          </w:tcPr>
          <w:p>
            <w:pPr>
              <w:spacing w:after="0" w:before="0"/>
            </w:pPr>
            <w:r>
              <w:rPr>
                <w:rFonts w:ascii="Calibri" w:hAnsi="Calibri" w:eastAsia="Calibri"/>
                <w:b/>
                <w:sz w:val="17"/>
              </w:rPr>
              <w:t>Règle</w:t>
            </w:r>
          </w:p>
        </w:tc>
        <w:tc>
          <w:tcPr>
            <w:tcW w:type="dxa" w:w="1928"/>
            <w:shd w:val="clear" w:color="auto" w:fill="E5E7EB"/>
          </w:tcPr>
          <w:p>
            <w:pPr>
              <w:spacing w:after="0" w:before="0"/>
            </w:pPr>
            <w:r>
              <w:rPr>
                <w:rFonts w:ascii="Calibri" w:hAnsi="Calibri" w:eastAsia="Calibri"/>
                <w:b/>
                <w:sz w:val="17"/>
              </w:rPr>
              <w:t>Texte</w:t>
            </w:r>
          </w:p>
        </w:tc>
      </w:tr>
      <w:tr>
        <w:tc>
          <w:tcPr>
            <w:tcW w:type="dxa" w:w="1928"/>
          </w:tcPr>
          <w:p>
            <w:pPr>
              <w:spacing w:after="0" w:before="0"/>
            </w:pPr>
            <w:r>
              <w:rPr>
                <w:rFonts w:ascii="Calibri" w:hAnsi="Calibri" w:eastAsia="Calibri"/>
                <w:sz w:val="17"/>
              </w:rPr>
              <w:t>SARL (après la loi de 2005)</w:t>
            </w:r>
          </w:p>
        </w:tc>
        <w:tc>
          <w:tcPr>
            <w:tcW w:type="dxa" w:w="2041"/>
          </w:tcPr>
          <w:p>
            <w:pPr>
              <w:spacing w:after="0" w:before="0"/>
            </w:pPr>
            <w:r>
              <w:rPr>
                <w:rFonts w:ascii="Calibri" w:hAnsi="Calibri" w:eastAsia="Calibri"/>
                <w:sz w:val="17"/>
              </w:rPr>
              <w:t>Assemblée générale extraordinaire</w:t>
            </w:r>
          </w:p>
        </w:tc>
        <w:tc>
          <w:tcPr>
            <w:tcW w:type="dxa" w:w="3402"/>
          </w:tcPr>
          <w:p>
            <w:pPr>
              <w:spacing w:after="0" w:before="0"/>
            </w:pPr>
            <w:r>
              <w:rPr>
                <w:rFonts w:ascii="Calibri" w:hAnsi="Calibri" w:eastAsia="Calibri"/>
                <w:sz w:val="17"/>
              </w:rPr>
              <w:t>Quorum : 1/4 puis 1/5 des parts ; majorité : 2/3 des parts des associés présents ou représentés ; quorums ou majorité statutaires plus élevés possibles, sans unanimité</w:t>
            </w:r>
          </w:p>
        </w:tc>
        <w:tc>
          <w:tcPr>
            <w:tcW w:type="dxa" w:w="1928"/>
          </w:tcPr>
          <w:p>
            <w:pPr>
              <w:spacing w:after="0" w:before="0"/>
            </w:pPr>
            <w:r>
              <w:rPr>
                <w:rFonts w:ascii="Calibri" w:hAnsi="Calibri" w:eastAsia="Calibri"/>
                <w:sz w:val="17"/>
              </w:rPr>
              <w:t>C. com., art. L. 223-30, al. 3</w:t>
            </w:r>
          </w:p>
        </w:tc>
      </w:tr>
      <w:tr>
        <w:tc>
          <w:tcPr>
            <w:tcW w:type="dxa" w:w="1928"/>
          </w:tcPr>
          <w:p>
            <w:pPr>
              <w:spacing w:after="0" w:before="0"/>
            </w:pPr>
            <w:r>
              <w:rPr>
                <w:rFonts w:ascii="Calibri" w:hAnsi="Calibri" w:eastAsia="Calibri"/>
                <w:sz w:val="17"/>
              </w:rPr>
              <w:t>SARL (avant la loi de 2005)</w:t>
            </w:r>
          </w:p>
        </w:tc>
        <w:tc>
          <w:tcPr>
            <w:tcW w:type="dxa" w:w="2041"/>
          </w:tcPr>
          <w:p>
            <w:pPr>
              <w:spacing w:after="0" w:before="0"/>
            </w:pPr>
            <w:r>
              <w:rPr>
                <w:rFonts w:ascii="Calibri" w:hAnsi="Calibri" w:eastAsia="Calibri"/>
                <w:sz w:val="17"/>
              </w:rPr>
              <w:t>Assemblée générale extraordinaire</w:t>
            </w:r>
          </w:p>
        </w:tc>
        <w:tc>
          <w:tcPr>
            <w:tcW w:type="dxa" w:w="3402"/>
          </w:tcPr>
          <w:p>
            <w:pPr>
              <w:spacing w:after="0" w:before="0"/>
            </w:pPr>
            <w:r>
              <w:rPr>
                <w:rFonts w:ascii="Calibri" w:hAnsi="Calibri" w:eastAsia="Calibri"/>
                <w:sz w:val="17"/>
              </w:rPr>
              <w:t>Pas de quorum légal ; 3/4 des parts sociales ; toute clause exigeant une majorité plus élevée est réputée non écrite</w:t>
            </w:r>
          </w:p>
        </w:tc>
        <w:tc>
          <w:tcPr>
            <w:tcW w:type="dxa" w:w="1928"/>
          </w:tcPr>
          <w:p>
            <w:pPr>
              <w:spacing w:after="0" w:before="0"/>
            </w:pPr>
            <w:r>
              <w:rPr>
                <w:rFonts w:ascii="Calibri" w:hAnsi="Calibri" w:eastAsia="Calibri"/>
                <w:sz w:val="17"/>
              </w:rPr>
              <w:t>C. com., art. L. 223-30, al. 2</w:t>
            </w:r>
          </w:p>
        </w:tc>
      </w:tr>
      <w:tr>
        <w:tc>
          <w:tcPr>
            <w:tcW w:type="dxa" w:w="1928"/>
          </w:tcPr>
          <w:p>
            <w:pPr>
              <w:spacing w:after="0" w:before="0"/>
            </w:pPr>
            <w:r>
              <w:rPr>
                <w:rFonts w:ascii="Calibri" w:hAnsi="Calibri" w:eastAsia="Calibri"/>
                <w:sz w:val="17"/>
              </w:rPr>
              <w:t>EURL</w:t>
            </w:r>
          </w:p>
        </w:tc>
        <w:tc>
          <w:tcPr>
            <w:tcW w:type="dxa" w:w="2041"/>
          </w:tcPr>
          <w:p>
            <w:pPr>
              <w:spacing w:after="0" w:before="0"/>
            </w:pPr>
            <w:r>
              <w:rPr>
                <w:rFonts w:ascii="Calibri" w:hAnsi="Calibri" w:eastAsia="Calibri"/>
                <w:sz w:val="17"/>
              </w:rPr>
              <w:t>Associé unique</w:t>
            </w:r>
          </w:p>
        </w:tc>
        <w:tc>
          <w:tcPr>
            <w:tcW w:type="dxa" w:w="3402"/>
          </w:tcPr>
          <w:p>
            <w:pPr>
              <w:spacing w:after="0" w:before="0"/>
            </w:pPr>
            <w:r>
              <w:rPr>
                <w:rFonts w:ascii="Calibri" w:hAnsi="Calibri" w:eastAsia="Calibri"/>
                <w:sz w:val="17"/>
              </w:rPr>
              <w:t>Décision consignée au registre</w:t>
            </w:r>
          </w:p>
        </w:tc>
        <w:tc>
          <w:tcPr>
            <w:tcW w:type="dxa" w:w="1928"/>
          </w:tcPr>
          <w:p>
            <w:pPr>
              <w:spacing w:after="0" w:before="0"/>
            </w:pPr>
            <w:r>
              <w:rPr>
                <w:rFonts w:ascii="Calibri" w:hAnsi="Calibri" w:eastAsia="Calibri"/>
                <w:sz w:val="17"/>
              </w:rPr>
              <w:t>C. com., art. L. 223-31</w:t>
            </w:r>
          </w:p>
        </w:tc>
      </w:tr>
      <w:tr>
        <w:tc>
          <w:tcPr>
            <w:tcW w:type="dxa" w:w="1928"/>
          </w:tcPr>
          <w:p>
            <w:pPr>
              <w:spacing w:after="0" w:before="0"/>
            </w:pPr>
            <w:r>
              <w:rPr>
                <w:rFonts w:ascii="Calibri" w:hAnsi="Calibri" w:eastAsia="Calibri"/>
                <w:sz w:val="17"/>
              </w:rPr>
              <w:t>SAS</w:t>
            </w:r>
          </w:p>
        </w:tc>
        <w:tc>
          <w:tcPr>
            <w:tcW w:type="dxa" w:w="2041"/>
          </w:tcPr>
          <w:p>
            <w:pPr>
              <w:spacing w:after="0" w:before="0"/>
            </w:pPr>
            <w:r>
              <w:rPr>
                <w:rFonts w:ascii="Calibri" w:hAnsi="Calibri" w:eastAsia="Calibri"/>
                <w:sz w:val="17"/>
              </w:rPr>
              <w:t>Selon les statuts</w:t>
            </w:r>
          </w:p>
        </w:tc>
        <w:tc>
          <w:tcPr>
            <w:tcW w:type="dxa" w:w="3402"/>
          </w:tcPr>
          <w:p>
            <w:pPr>
              <w:spacing w:after="0" w:before="0"/>
            </w:pPr>
            <w:r>
              <w:rPr>
                <w:rFonts w:ascii="Calibri" w:hAnsi="Calibri" w:eastAsia="Calibri"/>
                <w:sz w:val="17"/>
              </w:rPr>
              <w:t>Quorum et majorité fixés par les statuts</w:t>
            </w:r>
          </w:p>
        </w:tc>
        <w:tc>
          <w:tcPr>
            <w:tcW w:type="dxa" w:w="1928"/>
          </w:tcPr>
          <w:p>
            <w:pPr>
              <w:spacing w:after="0" w:before="0"/>
            </w:pPr>
            <w:r>
              <w:rPr>
                <w:rFonts w:ascii="Calibri" w:hAnsi="Calibri" w:eastAsia="Calibri"/>
                <w:sz w:val="17"/>
              </w:rPr>
              <w:t>C. com., art. L. 227-9</w:t>
            </w:r>
          </w:p>
        </w:tc>
      </w:tr>
      <w:tr>
        <w:tc>
          <w:tcPr>
            <w:tcW w:type="dxa" w:w="1928"/>
          </w:tcPr>
          <w:p>
            <w:pPr>
              <w:spacing w:after="0" w:before="0"/>
            </w:pPr>
            <w:r>
              <w:rPr>
                <w:rFonts w:ascii="Calibri" w:hAnsi="Calibri" w:eastAsia="Calibri"/>
                <w:sz w:val="17"/>
              </w:rPr>
              <w:t>SASU</w:t>
            </w:r>
          </w:p>
        </w:tc>
        <w:tc>
          <w:tcPr>
            <w:tcW w:type="dxa" w:w="2041"/>
          </w:tcPr>
          <w:p>
            <w:pPr>
              <w:spacing w:after="0" w:before="0"/>
            </w:pPr>
            <w:r>
              <w:rPr>
                <w:rFonts w:ascii="Calibri" w:hAnsi="Calibri" w:eastAsia="Calibri"/>
                <w:sz w:val="17"/>
              </w:rPr>
              <w:t>Associé unique</w:t>
            </w:r>
          </w:p>
        </w:tc>
        <w:tc>
          <w:tcPr>
            <w:tcW w:type="dxa" w:w="3402"/>
          </w:tcPr>
          <w:p>
            <w:pPr>
              <w:spacing w:after="0" w:before="0"/>
            </w:pPr>
            <w:r>
              <w:rPr>
                <w:rFonts w:ascii="Calibri" w:hAnsi="Calibri" w:eastAsia="Calibri"/>
                <w:sz w:val="17"/>
              </w:rPr>
              <w:t>Décision répertoriée au registre</w:t>
            </w:r>
          </w:p>
        </w:tc>
        <w:tc>
          <w:tcPr>
            <w:tcW w:type="dxa" w:w="1928"/>
          </w:tcPr>
          <w:p>
            <w:pPr>
              <w:spacing w:after="0" w:before="0"/>
            </w:pPr>
            <w:r>
              <w:rPr>
                <w:rFonts w:ascii="Calibri" w:hAnsi="Calibri" w:eastAsia="Calibri"/>
                <w:sz w:val="17"/>
              </w:rPr>
              <w:t>C. com., art. L. 227-1 et L. 227-9</w:t>
            </w:r>
          </w:p>
        </w:tc>
      </w:tr>
      <w:tr>
        <w:tc>
          <w:tcPr>
            <w:tcW w:type="dxa" w:w="1928"/>
          </w:tcPr>
          <w:p>
            <w:pPr>
              <w:spacing w:after="0" w:before="0"/>
            </w:pPr>
            <w:r>
              <w:rPr>
                <w:rFonts w:ascii="Calibri" w:hAnsi="Calibri" w:eastAsia="Calibri"/>
                <w:sz w:val="17"/>
              </w:rPr>
              <w:t>SCI</w:t>
            </w:r>
          </w:p>
        </w:tc>
        <w:tc>
          <w:tcPr>
            <w:tcW w:type="dxa" w:w="2041"/>
          </w:tcPr>
          <w:p>
            <w:pPr>
              <w:spacing w:after="0" w:before="0"/>
            </w:pPr>
            <w:r>
              <w:rPr>
                <w:rFonts w:ascii="Calibri" w:hAnsi="Calibri" w:eastAsia="Calibri"/>
                <w:sz w:val="17"/>
              </w:rPr>
              <w:t>Associés</w:t>
            </w:r>
          </w:p>
        </w:tc>
        <w:tc>
          <w:tcPr>
            <w:tcW w:type="dxa" w:w="3402"/>
          </w:tcPr>
          <w:p>
            <w:pPr>
              <w:spacing w:after="0" w:before="0"/>
            </w:pPr>
            <w:r>
              <w:rPr>
                <w:rFonts w:ascii="Calibri" w:hAnsi="Calibri" w:eastAsia="Calibri"/>
                <w:sz w:val="17"/>
              </w:rPr>
              <w:t>Clause des statuts ; à défaut, unanimité</w:t>
            </w:r>
          </w:p>
        </w:tc>
        <w:tc>
          <w:tcPr>
            <w:tcW w:type="dxa" w:w="1928"/>
          </w:tcPr>
          <w:p>
            <w:pPr>
              <w:spacing w:after="0" w:before="0"/>
            </w:pPr>
            <w:r>
              <w:rPr>
                <w:rFonts w:ascii="Calibri" w:hAnsi="Calibri" w:eastAsia="Calibri"/>
                <w:sz w:val="17"/>
              </w:rPr>
              <w:t>C. civ., art. 1836</w:t>
            </w:r>
          </w:p>
        </w:tc>
      </w:tr>
    </w:tbl>
    <w:p>
      <w:pPr>
        <w:spacing w:after="160"/>
      </w:pP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 changement de dénomination ou modification de l’objet social</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