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efore="0"/>
        <w:jc w:val="center"/>
      </w:pPr>
      <w:r>
        <w:rPr>
          <w:rFonts w:ascii="Calibri" w:hAnsi="Calibri" w:eastAsia="Calibri"/>
          <w:b/>
          <w:sz w:val="24"/>
        </w:rPr>
        <w:t xml:space="preserve">SOCIÉTÉ </w:t>
      </w:r>
      <w:r>
        <w:rPr>
          <w:rFonts w:ascii="Calibri" w:hAnsi="Calibri" w:eastAsia="Calibri"/>
          <w:b/>
          <w:sz w:val="24"/>
          <w:highlight w:val="yellow"/>
        </w:rPr>
        <w:t>[DÉNOMINATION]</w:t>
      </w:r>
    </w:p>
    <w:p>
      <w:pPr>
        <w:spacing w:after="40" w:before="0"/>
        <w:jc w:val="center"/>
      </w:pPr>
      <w:r>
        <w:rPr>
          <w:rFonts w:ascii="Calibri" w:hAnsi="Calibri" w:eastAsia="Calibri"/>
          <w:sz w:val="22"/>
        </w:rPr>
        <w:t xml:space="preserve">Société par actions simplifiée unipersonnelle au capital de </w:t>
      </w:r>
      <w:r>
        <w:rPr>
          <w:rFonts w:ascii="Calibri" w:hAnsi="Calibri" w:eastAsia="Calibri"/>
          <w:sz w:val="22"/>
          <w:highlight w:val="yellow"/>
        </w:rPr>
        <w:t>[montant]</w:t>
      </w:r>
      <w:r>
        <w:rPr>
          <w:rFonts w:ascii="Calibri" w:hAnsi="Calibri" w:eastAsia="Calibri"/>
          <w:sz w:val="22"/>
        </w:rPr>
        <w:t xml:space="preserve"> €</w:t>
      </w:r>
    </w:p>
    <w:p>
      <w:pPr>
        <w:spacing w:after="40" w:before="0"/>
        <w:jc w:val="center"/>
      </w:pPr>
      <w:r>
        <w:rPr>
          <w:rFonts w:ascii="Calibri" w:hAnsi="Calibri" w:eastAsia="Calibri"/>
          <w:sz w:val="22"/>
        </w:rPr>
        <w:t xml:space="preserve">Siège social : </w:t>
      </w:r>
      <w:r>
        <w:rPr>
          <w:rFonts w:ascii="Calibri" w:hAnsi="Calibri" w:eastAsia="Calibri"/>
          <w:sz w:val="22"/>
          <w:highlight w:val="yellow"/>
        </w:rPr>
        <w:t>[adresse actuelle]</w:t>
      </w:r>
    </w:p>
    <w:p>
      <w:pPr>
        <w:spacing w:after="280" w:before="0"/>
        <w:jc w:val="center"/>
      </w:pPr>
      <w:r>
        <w:rPr>
          <w:rFonts w:ascii="Calibri" w:hAnsi="Calibri" w:eastAsia="Calibri"/>
          <w:sz w:val="22"/>
          <w:highlight w:val="yellow"/>
        </w:rPr>
        <w:t>[RCS Ville]</w:t>
      </w:r>
      <w:r>
        <w:rPr>
          <w:rFonts w:ascii="Calibri" w:hAnsi="Calibri" w:eastAsia="Calibri"/>
          <w:sz w:val="22"/>
        </w:rPr>
        <w:t xml:space="preserve"> n° </w:t>
      </w:r>
      <w:r>
        <w:rPr>
          <w:rFonts w:ascii="Calibri" w:hAnsi="Calibri" w:eastAsia="Calibri"/>
          <w:sz w:val="22"/>
          <w:highlight w:val="yellow"/>
        </w:rPr>
        <w:t>[numéro SIREN]</w:t>
      </w:r>
    </w:p>
    <w:p>
      <w:pPr>
        <w:spacing w:after="40" w:before="0"/>
        <w:jc w:val="center"/>
      </w:pPr>
      <w:r>
        <w:rPr>
          <w:rFonts w:ascii="Calibri" w:hAnsi="Calibri" w:eastAsia="Calibri"/>
          <w:b/>
          <w:sz w:val="24"/>
        </w:rPr>
        <w:t>PROCÈS-VERBAL DES DÉCISIONS DE L’ASSOCIÉ UNIQUE</w:t>
      </w:r>
    </w:p>
    <w:p>
      <w:pPr>
        <w:spacing w:after="320" w:before="0"/>
        <w:jc w:val="center"/>
      </w:pPr>
      <w:r>
        <w:rPr>
          <w:rFonts w:ascii="Calibri" w:hAnsi="Calibri" w:eastAsia="Calibri"/>
          <w:b/>
          <w:sz w:val="22"/>
        </w:rPr>
        <w:t xml:space="preserve">du </w:t>
      </w:r>
      <w:r>
        <w:rPr>
          <w:rFonts w:ascii="Calibri" w:hAnsi="Calibri" w:eastAsia="Calibri"/>
          <w:b/>
          <w:sz w:val="22"/>
          <w:highlight w:val="yellow"/>
        </w:rPr>
        <w:t>[date]</w:t>
      </w:r>
      <w:r>
        <w:rPr>
          <w:rFonts w:ascii="Calibri" w:hAnsi="Calibri" w:eastAsia="Calibri"/>
          <w:b/>
          <w:sz w:val="22"/>
        </w:rPr>
        <w:t xml:space="preserve"> — Transfert du siège social</w:t>
      </w:r>
    </w:p>
    <w:p>
      <w:pPr>
        <w:spacing w:after="160" w:before="0"/>
        <w:jc w:val="both"/>
      </w:pPr>
      <w:r>
        <w:rPr>
          <w:rFonts w:ascii="Calibri" w:hAnsi="Calibri" w:eastAsia="Calibri"/>
          <w:sz w:val="22"/>
        </w:rPr>
        <w:t xml:space="preserve">L’an </w:t>
      </w:r>
      <w:r>
        <w:rPr>
          <w:rFonts w:ascii="Calibri" w:hAnsi="Calibri" w:eastAsia="Calibri"/>
          <w:sz w:val="22"/>
          <w:highlight w:val="yellow"/>
        </w:rPr>
        <w:t>[année]</w:t>
      </w:r>
      <w:r>
        <w:rPr>
          <w:rFonts w:ascii="Calibri" w:hAnsi="Calibri" w:eastAsia="Calibri"/>
          <w:sz w:val="22"/>
        </w:rPr>
        <w:t xml:space="preserve">, le </w:t>
      </w:r>
      <w:r>
        <w:rPr>
          <w:rFonts w:ascii="Calibri" w:hAnsi="Calibri" w:eastAsia="Calibri"/>
          <w:sz w:val="22"/>
          <w:highlight w:val="yellow"/>
        </w:rPr>
        <w:t>[jour et mois]</w:t>
      </w:r>
      <w:r>
        <w:rPr>
          <w:rFonts w:ascii="Calibri" w:hAnsi="Calibri" w:eastAsia="Calibri"/>
          <w:sz w:val="22"/>
        </w:rPr>
        <w:t>,</w:t>
      </w:r>
    </w:p>
    <w:p>
      <w:pPr>
        <w:spacing w:after="160" w:before="0"/>
        <w:jc w:val="both"/>
      </w:pPr>
      <w:r>
        <w:rPr>
          <w:rFonts w:ascii="Calibri" w:hAnsi="Calibri" w:eastAsia="Calibri"/>
          <w:sz w:val="22"/>
          <w:highlight w:val="yellow"/>
        </w:rPr>
        <w:t>[Prénom NOM / dénomination de l’associé personne morale, représentée par …]</w:t>
      </w:r>
      <w:r>
        <w:rPr>
          <w:rFonts w:ascii="Calibri" w:hAnsi="Calibri" w:eastAsia="Calibri"/>
          <w:sz w:val="22"/>
        </w:rPr>
        <w:t xml:space="preserve">, associé unique de la société, propriétaire de la totalité des </w:t>
      </w:r>
      <w:r>
        <w:rPr>
          <w:rFonts w:ascii="Calibri" w:hAnsi="Calibri" w:eastAsia="Calibri"/>
          <w:sz w:val="22"/>
          <w:highlight w:val="yellow"/>
        </w:rPr>
        <w:t>[nombre]</w:t>
      </w:r>
      <w:r>
        <w:rPr>
          <w:rFonts w:ascii="Calibri" w:hAnsi="Calibri" w:eastAsia="Calibri"/>
          <w:sz w:val="22"/>
        </w:rPr>
        <w:t xml:space="preserve"> actions composant le capital social,</w:t>
      </w:r>
    </w:p>
    <w:p>
      <w:pPr>
        <w:spacing w:after="80" w:before="0"/>
        <w:jc w:val="both"/>
      </w:pPr>
      <w:r>
        <w:rPr>
          <w:rFonts w:ascii="Calibri" w:hAnsi="Calibri" w:eastAsia="Calibri"/>
          <w:sz w:val="22"/>
        </w:rPr>
        <w:t>a pris les décisions suivantes, relatives à l’ordre du jour ci-après :</w:t>
      </w:r>
    </w:p>
    <w:p>
      <w:pPr>
        <w:spacing w:after="40" w:before="0"/>
        <w:jc w:val="both"/>
      </w:pPr>
      <w:r>
        <w:rPr>
          <w:rFonts w:ascii="Calibri" w:hAnsi="Calibri" w:eastAsia="Calibri"/>
          <w:sz w:val="22"/>
        </w:rPr>
        <w:t>1. Transfert du siège social</w:t>
      </w:r>
    </w:p>
    <w:p>
      <w:pPr>
        <w:spacing w:after="40" w:before="0"/>
        <w:jc w:val="both"/>
      </w:pPr>
      <w:r>
        <w:rPr>
          <w:rFonts w:ascii="Calibri" w:hAnsi="Calibri" w:eastAsia="Calibri"/>
          <w:sz w:val="22"/>
        </w:rPr>
        <w:t>2. Modification corrélative des statuts</w:t>
      </w:r>
    </w:p>
    <w:p>
      <w:pPr>
        <w:spacing w:after="280" w:before="0"/>
        <w:jc w:val="both"/>
      </w:pPr>
      <w:r>
        <w:rPr>
          <w:rFonts w:ascii="Calibri" w:hAnsi="Calibri" w:eastAsia="Calibri"/>
          <w:sz w:val="22"/>
        </w:rPr>
        <w:t>3. Pouvoirs pour l’accomplissement des formalités</w:t>
      </w:r>
    </w:p>
    <w:p>
      <w:pPr>
        <w:spacing w:after="120" w:before="0"/>
      </w:pPr>
      <w:r>
        <w:rPr>
          <w:rFonts w:ascii="Calibri" w:hAnsi="Calibri" w:eastAsia="Calibri"/>
          <w:b/>
          <w:sz w:val="22"/>
        </w:rPr>
        <w:t>PREMIÈRE DÉCISION — Transfert du siège social</w:t>
      </w:r>
    </w:p>
    <w:p>
      <w:pPr>
        <w:spacing w:after="160" w:before="0"/>
        <w:jc w:val="both"/>
      </w:pPr>
      <w:r>
        <w:rPr>
          <w:rFonts w:ascii="Calibri" w:hAnsi="Calibri" w:eastAsia="Calibri"/>
          <w:sz w:val="22"/>
        </w:rPr>
        <w:t xml:space="preserve">L’Associé unique décide de transférer le siège social de la société du </w:t>
      </w:r>
      <w:r>
        <w:rPr>
          <w:rFonts w:ascii="Calibri" w:hAnsi="Calibri" w:eastAsia="Calibri"/>
          <w:sz w:val="22"/>
          <w:highlight w:val="yellow"/>
        </w:rPr>
        <w:t>[adresse actuelle complète]</w:t>
      </w:r>
      <w:r>
        <w:rPr>
          <w:rFonts w:ascii="Calibri" w:hAnsi="Calibri" w:eastAsia="Calibri"/>
          <w:sz w:val="22"/>
        </w:rPr>
        <w:t xml:space="preserve"> au </w:t>
      </w:r>
      <w:r>
        <w:rPr>
          <w:rFonts w:ascii="Calibri" w:hAnsi="Calibri" w:eastAsia="Calibri"/>
          <w:sz w:val="22"/>
          <w:highlight w:val="yellow"/>
        </w:rPr>
        <w:t>[nouvelle adresse complète]</w:t>
      </w:r>
      <w:r>
        <w:rPr>
          <w:rFonts w:ascii="Calibri" w:hAnsi="Calibri" w:eastAsia="Calibri"/>
          <w:sz w:val="22"/>
        </w:rPr>
        <w:t xml:space="preserve">, à compter du </w:t>
      </w:r>
      <w:r>
        <w:rPr>
          <w:rFonts w:ascii="Calibri" w:hAnsi="Calibri" w:eastAsia="Calibri"/>
          <w:sz w:val="22"/>
          <w:highlight w:val="yellow"/>
        </w:rPr>
        <w:t>[date d’effet]</w:t>
      </w:r>
      <w:r>
        <w:rPr>
          <w:rFonts w:ascii="Calibri" w:hAnsi="Calibri" w:eastAsia="Calibri"/>
          <w:sz w:val="22"/>
        </w:rPr>
        <w:t>.</w:t>
      </w:r>
    </w:p>
    <w:p>
      <w:pPr>
        <w:spacing w:after="160" w:before="0"/>
        <w:jc w:val="both"/>
      </w:pPr>
      <w:r>
        <w:rPr>
          <w:rFonts w:ascii="Calibri" w:hAnsi="Calibri" w:eastAsia="Calibri"/>
          <w:sz w:val="22"/>
          <w:highlight w:val="yellow"/>
        </w:rPr>
        <w:t>[Le cas échéant : La société dispose des nouveaux locaux en vertu de … (bail commercial du … / contrat de domiciliation conclu le … avec … / mise à disposition par le Président à son domicile, dans les conditions prévues par la loi).]</w:t>
      </w:r>
    </w:p>
    <w:p>
      <w:pPr>
        <w:spacing w:after="240" w:before="0"/>
      </w:pPr>
      <w:r>
        <w:rPr>
          <w:rFonts w:ascii="Calibri" w:hAnsi="Calibri" w:eastAsia="Calibri"/>
          <w:b/>
          <w:sz w:val="22"/>
        </w:rPr>
        <w:t>Cette décision est adoptée par l’Associé unique.</w:t>
      </w:r>
    </w:p>
    <w:p>
      <w:pPr>
        <w:spacing w:after="120" w:before="0"/>
      </w:pPr>
      <w:r>
        <w:rPr>
          <w:rFonts w:ascii="Calibri" w:hAnsi="Calibri" w:eastAsia="Calibri"/>
          <w:b/>
          <w:sz w:val="22"/>
        </w:rPr>
        <w:t>DEUXIÈME DÉCISION — Modification corrélative des statuts</w:t>
      </w:r>
    </w:p>
    <w:p>
      <w:pPr>
        <w:spacing w:after="80" w:before="0"/>
        <w:jc w:val="both"/>
      </w:pPr>
      <w:r>
        <w:rPr>
          <w:rFonts w:ascii="Calibri" w:hAnsi="Calibri" w:eastAsia="Calibri"/>
          <w:sz w:val="22"/>
        </w:rPr>
        <w:t xml:space="preserve">En conséquence de la décision qui précède, l’Associé unique décide de modifier l’article </w:t>
      </w:r>
      <w:r>
        <w:rPr>
          <w:rFonts w:ascii="Calibri" w:hAnsi="Calibri" w:eastAsia="Calibri"/>
          <w:sz w:val="22"/>
          <w:highlight w:val="yellow"/>
        </w:rPr>
        <w:t>[3]</w:t>
      </w:r>
      <w:r>
        <w:rPr>
          <w:rFonts w:ascii="Calibri" w:hAnsi="Calibri" w:eastAsia="Calibri"/>
          <w:sz w:val="22"/>
        </w:rPr>
        <w:t xml:space="preserve"> des statuts, dont le premier alinéa est désormais rédigé comme suit :</w:t>
      </w:r>
    </w:p>
    <w:p>
      <w:pPr>
        <w:spacing w:after="80" w:before="0"/>
        <w:jc w:val="both"/>
      </w:pPr>
      <w:r>
        <w:rPr>
          <w:rFonts w:ascii="Calibri" w:hAnsi="Calibri" w:eastAsia="Calibri"/>
          <w:sz w:val="22"/>
        </w:rPr>
        <w:t xml:space="preserve">« Le siège social est fixé : </w:t>
      </w:r>
      <w:r>
        <w:rPr>
          <w:rFonts w:ascii="Calibri" w:hAnsi="Calibri" w:eastAsia="Calibri"/>
          <w:sz w:val="22"/>
          <w:highlight w:val="yellow"/>
        </w:rPr>
        <w:t>[nouvelle adresse complète]</w:t>
      </w:r>
      <w:r>
        <w:rPr>
          <w:rFonts w:ascii="Calibri" w:hAnsi="Calibri" w:eastAsia="Calibri"/>
          <w:sz w:val="22"/>
        </w:rPr>
        <w:t>. »</w:t>
      </w:r>
    </w:p>
    <w:p>
      <w:pPr>
        <w:spacing w:after="160" w:before="0"/>
        <w:jc w:val="both"/>
      </w:pPr>
      <w:r>
        <w:rPr>
          <w:rFonts w:ascii="Calibri" w:hAnsi="Calibri" w:eastAsia="Calibri"/>
          <w:sz w:val="22"/>
        </w:rPr>
        <w:t>Le reste de l’article demeure inchangé.</w:t>
      </w:r>
    </w:p>
    <w:p>
      <w:pPr>
        <w:spacing w:after="240" w:before="0"/>
      </w:pPr>
      <w:r>
        <w:rPr>
          <w:rFonts w:ascii="Calibri" w:hAnsi="Calibri" w:eastAsia="Calibri"/>
          <w:b/>
          <w:sz w:val="22"/>
        </w:rPr>
        <w:t>Cette décision est adoptée par l’Associé unique.</w:t>
      </w:r>
    </w:p>
    <w:p>
      <w:pPr>
        <w:spacing w:after="120" w:before="0"/>
      </w:pPr>
      <w:r>
        <w:rPr>
          <w:rFonts w:ascii="Calibri" w:hAnsi="Calibri" w:eastAsia="Calibri"/>
          <w:b/>
          <w:sz w:val="22"/>
        </w:rPr>
        <w:t>TROISIÈME DÉCISION — Pouvoirs</w:t>
      </w:r>
    </w:p>
    <w:p>
      <w:pPr>
        <w:spacing w:after="160" w:before="0"/>
        <w:jc w:val="both"/>
      </w:pPr>
      <w:r>
        <w:rPr>
          <w:rFonts w:ascii="Calibri" w:hAnsi="Calibri" w:eastAsia="Calibri"/>
          <w:sz w:val="22"/>
        </w:rPr>
        <w:t>L’Associé unique confère tous pouvoirs au Président, ainsi qu’au porteur d’un original, d’une copie ou d’un extrait du présent procès-verbal, pour accomplir toutes les formalités de publicité, de dépôt et autres qui seront nécessaires.</w:t>
      </w:r>
    </w:p>
    <w:p>
      <w:pPr>
        <w:spacing w:after="280" w:before="0"/>
      </w:pPr>
      <w:r>
        <w:rPr>
          <w:rFonts w:ascii="Calibri" w:hAnsi="Calibri" w:eastAsia="Calibri"/>
          <w:b/>
          <w:sz w:val="22"/>
        </w:rPr>
        <w:t>Cette décision est adoptée par l’Associé unique.</w:t>
      </w:r>
    </w:p>
    <w:p>
      <w:pPr>
        <w:spacing w:after="360" w:before="0"/>
        <w:jc w:val="both"/>
      </w:pPr>
      <w:r>
        <w:rPr>
          <w:rFonts w:ascii="Calibri" w:hAnsi="Calibri" w:eastAsia="Calibri"/>
          <w:sz w:val="22"/>
        </w:rPr>
        <w:t>De tout ce que dessus, il a été dressé le présent procès-verbal, signé par l’Associé unique et consigné dans le registre des décisions.</w:t>
      </w:r>
    </w:p>
    <w:p>
      <w:pPr>
        <w:spacing w:after="40" w:before="0"/>
      </w:pPr>
      <w:r>
        <w:rPr>
          <w:rFonts w:ascii="Calibri" w:hAnsi="Calibri" w:eastAsia="Calibri"/>
          <w:b/>
          <w:sz w:val="22"/>
        </w:rPr>
        <w:t>L’Associé unique</w:t>
      </w:r>
    </w:p>
    <w:p>
      <w:pPr>
        <w:spacing w:after="280" w:before="0"/>
      </w:pPr>
      <w:r>
        <w:rPr>
          <w:rFonts w:ascii="Calibri" w:hAnsi="Calibri" w:eastAsia="Calibri"/>
          <w:sz w:val="22"/>
          <w:highlight w:val="yellow"/>
        </w:rPr>
        <w:t>[Prénom NOM — signature]</w:t>
      </w:r>
    </w:p>
    <w:p>
      <w:r>
        <w:br w:type="page"/>
      </w:r>
    </w:p>
    <w:p>
      <w:pPr>
        <w:spacing w:after="80" w:before="0"/>
      </w:pPr>
      <w:r>
        <w:rPr>
          <w:rFonts w:ascii="Calibri" w:hAnsi="Calibri" w:eastAsia="Calibri"/>
          <w:b/>
          <w:sz w:val="26"/>
        </w:rPr>
        <w:t>Notes pratiques — à supprimer avant utilisation</w:t>
      </w:r>
    </w:p>
    <w:p>
      <w:pPr>
        <w:spacing w:after="120"/>
      </w:pPr>
    </w:p>
    <w:p>
      <w:pPr>
        <w:spacing w:after="100" w:before="0"/>
        <w:jc w:val="both"/>
      </w:pPr>
      <w:r>
        <w:rPr>
          <w:rFonts w:ascii="Calibri" w:hAnsi="Calibri" w:eastAsia="Calibri"/>
          <w:color w:val="374151"/>
          <w:sz w:val="20"/>
        </w:rPr>
        <w:t>• Qui décide ? Lisez d’abord l’article des statuts consacré au siège. Les statuts de SASU simplifiés proposés sur la même page permettent au Président de transférer le siège dans le même département ou dans un département limitrophe, et réservent les autres transferts à l’Associé unique. Si la décision relève du Président, adaptez l’intitulé du document (« Décision du Président ») et la modification des statuts.</w:t>
      </w:r>
    </w:p>
    <w:p>
      <w:pPr>
        <w:spacing w:after="100" w:before="0"/>
        <w:jc w:val="both"/>
      </w:pPr>
      <w:r>
        <w:rPr>
          <w:rFonts w:ascii="Calibri" w:hAnsi="Calibri" w:eastAsia="Calibri"/>
          <w:color w:val="374151"/>
          <w:sz w:val="20"/>
        </w:rPr>
        <w:t>• La société doit pouvoir justifier de la jouissance des nouveaux locaux : bail, titre de propriété, contrat de domiciliation conclu avec une entreprise de domiciliation, ou installation au domicile du représentant légal dans les conditions prévues par le code de commerce (vérifiez votre bail et le règlement de copropriété).</w:t>
      </w:r>
    </w:p>
    <w:p>
      <w:pPr>
        <w:spacing w:after="100" w:before="0"/>
        <w:jc w:val="both"/>
      </w:pPr>
      <w:r>
        <w:rPr>
          <w:rFonts w:ascii="Calibri" w:hAnsi="Calibri" w:eastAsia="Calibri"/>
          <w:color w:val="374151"/>
          <w:sz w:val="20"/>
        </w:rPr>
        <w:t>• Formalités : publication d’une annonce légale, puis déclaration de la modification sur le guichet unique des formalités d’entreprises (formalites.entreprises.gouv.fr), avec notamment ce procès-verbal, les statuts mis à jour certifiés conformes et le justificatif de jouissance des locaux. En cas de transfert dans un autre département, vérifiez les publications exigées et le greffe compétent.</w:t>
      </w:r>
    </w:p>
    <w:p>
      <w:pPr>
        <w:spacing w:after="100" w:before="0"/>
        <w:jc w:val="both"/>
      </w:pPr>
      <w:r>
        <w:rPr>
          <w:rFonts w:ascii="Calibri" w:hAnsi="Calibri" w:eastAsia="Calibri"/>
          <w:color w:val="374151"/>
          <w:sz w:val="20"/>
        </w:rPr>
        <w:t>• En Alsace-Moselle (Bas-Rhin, Haut-Rhin, Moselle), le registre du commerce et des sociétés est tenu par le greffe du tribunal judiciaire, et non par un greffe de tribunal de commerce ; la déclaration se fait, comme ailleurs, sur le guichet unique.</w:t>
      </w:r>
    </w:p>
    <w:p>
      <w:pPr>
        <w:spacing w:after="100" w:before="0"/>
        <w:jc w:val="both"/>
      </w:pPr>
      <w:r>
        <w:rPr>
          <w:rFonts w:ascii="Calibri" w:hAnsi="Calibri" w:eastAsia="Calibri"/>
          <w:color w:val="374151"/>
          <w:sz w:val="20"/>
        </w:rPr>
        <w:t>• Pensez à mettre à jour l’adresse sur les factures, le papier à en-tête, le site internet et auprès de la banque, des assureurs et des principaux partenaires.</w:t>
      </w:r>
    </w:p>
    <w:p>
      <w:pPr>
        <w:spacing w:after="100" w:before="0"/>
        <w:jc w:val="both"/>
      </w:pPr>
      <w:r>
        <w:rPr>
          <w:rFonts w:ascii="Calibri" w:hAnsi="Calibri" w:eastAsia="Calibri"/>
          <w:color w:val="374151"/>
          <w:sz w:val="20"/>
        </w:rPr>
        <w:t>• Ce modèle vise une SASU. Pour une SAS à plusieurs associés ou une SARL / EURL, les règles de décision et la terminologie (gérant, assemblée) diffèrent.</w:t>
      </w:r>
    </w:p>
    <w:p>
      <w:pPr>
        <w:spacing w:after="100" w:before="0"/>
        <w:jc w:val="both"/>
      </w:pPr>
      <w:r>
        <w:rPr>
          <w:rFonts w:ascii="Calibri" w:hAnsi="Calibri" w:eastAsia="Calibri"/>
          <w:color w:val="374151"/>
          <w:sz w:val="20"/>
        </w:rPr>
        <w:t>• Supprimez l’en-tête informatif, les surlignages et la présente page avant classement ou dépôt.</w:t>
      </w:r>
    </w:p>
    <w:sectPr w:rsidR="00FC693F" w:rsidRPr="0006063C" w:rsidSect="00034616">
      <w:headerReference w:type="default" r:id="rId9"/>
      <w:footerReference w:type="default" r:id="rId10"/>
      <w:pgSz w:w="12240" w:h="15840"/>
      <w:pgMar w:top="1247"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Calibri" w:hAnsi="Calibri" w:eastAsia="Calibri"/>
        <w:color w:val="9AA5B1"/>
        <w:sz w:val="16"/>
      </w:rPr>
      <w:t>Modèle — Cabinet Gasimov, avocat à Strasbourg · www.avocat-gasimov.fr</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
      <w:rPr>
        <w:rFonts w:ascii="Calibri" w:hAnsi="Calibri" w:eastAsia="Calibri"/>
        <w:i/>
        <w:color w:val="6B7280"/>
        <w:sz w:val="17"/>
      </w:rPr>
      <w:t>Modèle fourni à titre informatif — à adapter à votre situation ; ne remplace pas un conseil personnalisé. Cabinet Gasimov</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Procès-verbal — transfert du siège social de SASU</dc:title>
  <dc:subject/>
  <dc:creator>Cabinet Gasimov</dc:creator>
  <cp:keywords/>
  <dc:description>generated by python-docx</dc:description>
  <cp:lastModifiedBy/>
  <cp:revision>1</cp:revision>
  <dcterms:created xsi:type="dcterms:W3CDTF">2013-12-23T23:15:00Z</dcterms:created>
  <dcterms:modified xsi:type="dcterms:W3CDTF">2013-12-23T23:15:00Z</dcterms:modified>
  <cp:category/>
</cp:coreProperties>
</file>