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Société à responsabilité limitée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28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40" w:before="0"/>
        <w:jc w:val="center"/>
      </w:pPr>
      <w:r>
        <w:rPr>
          <w:rFonts w:ascii="Calibri" w:hAnsi="Calibri" w:eastAsia="Calibri"/>
          <w:b/>
          <w:sz w:val="24"/>
        </w:rPr>
        <w:t>PROCÈS-VERBAL DE L’ASSEMBLÉE GÉNÉRALE ORDINAIRE ANNUELLE</w:t>
      </w:r>
    </w:p>
    <w:p>
      <w:pPr>
        <w:spacing w:after="320" w:before="0"/>
        <w:jc w:val="center"/>
      </w:pPr>
      <w:r>
        <w:rPr>
          <w:rFonts w:ascii="Calibri" w:hAnsi="Calibri" w:eastAsia="Calibri"/>
          <w:b/>
          <w:sz w:val="22"/>
        </w:rPr>
        <w:t xml:space="preserve">du </w:t>
      </w:r>
      <w:r>
        <w:rPr>
          <w:rFonts w:ascii="Calibri" w:hAnsi="Calibri" w:eastAsia="Calibri"/>
          <w:b/>
          <w:sz w:val="22"/>
          <w:highlight w:val="yellow"/>
        </w:rPr>
        <w:t>[date]</w:t>
      </w:r>
      <w:r>
        <w:rPr>
          <w:rFonts w:ascii="Calibri" w:hAnsi="Calibri" w:eastAsia="Calibri"/>
          <w:b/>
          <w:sz w:val="22"/>
        </w:rPr>
        <w:t xml:space="preserve"> — comptes de l’exercice clos le </w:t>
      </w:r>
      <w:r>
        <w:rPr>
          <w:rFonts w:ascii="Calibri" w:hAnsi="Calibri" w:eastAsia="Calibri"/>
          <w:b/>
          <w:sz w:val="22"/>
          <w:highlight w:val="yellow"/>
        </w:rPr>
        <w:t>[date]</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les associés de la société </w:t>
      </w:r>
      <w:r>
        <w:rPr>
          <w:rFonts w:ascii="Calibri" w:hAnsi="Calibri" w:eastAsia="Calibri"/>
          <w:sz w:val="22"/>
          <w:highlight w:val="yellow"/>
        </w:rPr>
        <w:t>[dénomination]</w:t>
      </w:r>
      <w:r>
        <w:rPr>
          <w:rFonts w:ascii="Calibri" w:hAnsi="Calibri" w:eastAsia="Calibri"/>
          <w:sz w:val="22"/>
        </w:rPr>
        <w:t xml:space="preserve"> se sont réunis en assemblée générale ordinaire annuelle, </w:t>
      </w:r>
      <w:r>
        <w:rPr>
          <w:rFonts w:ascii="Calibri" w:hAnsi="Calibri" w:eastAsia="Calibri"/>
          <w:sz w:val="22"/>
          <w:highlight w:val="yellow"/>
        </w:rPr>
        <w:t>[au siège social / à …]</w:t>
      </w:r>
      <w:r>
        <w:rPr>
          <w:rFonts w:ascii="Calibri" w:hAnsi="Calibri" w:eastAsia="Calibri"/>
          <w:sz w:val="22"/>
        </w:rPr>
        <w:t xml:space="preserve">, sur convocation de la gérance adressée à chacun d’eux par lettre recommandée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[et, pour les associés qui y avaient consenti par écrit, par voie électronique]</w:t>
      </w:r>
      <w:r>
        <w:rPr>
          <w:rFonts w:ascii="Calibri" w:hAnsi="Calibri" w:eastAsia="Calibri"/>
          <w:sz w:val="22"/>
        </w:rPr>
        <w:t>.</w:t>
      </w:r>
    </w:p>
    <w:p>
      <w:pPr>
        <w:spacing w:after="120" w:before="0"/>
      </w:pPr>
      <w:r>
        <w:rPr>
          <w:rFonts w:ascii="Calibri" w:hAnsi="Calibri" w:eastAsia="Calibri"/>
          <w:b/>
          <w:sz w:val="22"/>
        </w:rPr>
        <w:t>Associés présents, réputés présents ou représentés</w:t>
      </w:r>
    </w:p>
    <w:tbl>
      <w:tblPr>
        <w:tblStyle w:val="TableGrid"/>
        <w:tblW w:type="auto" w:w="0"/>
        <w:jc w:val="center"/>
        <w:tblLayout w:type="fixed"/>
        <w:tblLook w:firstColumn="1" w:firstRow="1" w:lastColumn="0" w:lastRow="0" w:noHBand="0" w:noVBand="1" w:val="04A0"/>
      </w:tblPr>
      <w:tblGrid>
        <w:gridCol w:w="3685"/>
        <w:gridCol w:w="1587"/>
        <w:gridCol w:w="4082"/>
      </w:tblGrid>
      <w:tr>
        <w:tc>
          <w:tcPr>
            <w:tcW w:type="dxa" w:w="3685"/>
            <w:shd w:val="clear" w:color="auto" w:fill="EEF1F4"/>
          </w:tcPr>
          <w:p>
            <w:pPr>
              <w:spacing w:after="20" w:before="0"/>
            </w:pPr>
            <w:r>
              <w:rPr>
                <w:rFonts w:ascii="Calibri" w:hAnsi="Calibri" w:eastAsia="Calibri"/>
                <w:b/>
                <w:sz w:val="19"/>
              </w:rPr>
              <w:t>Associé (nom et prénoms ou dénomination)</w:t>
            </w:r>
          </w:p>
        </w:tc>
        <w:tc>
          <w:tcPr>
            <w:tcW w:type="dxa" w:w="1587"/>
            <w:shd w:val="clear" w:color="auto" w:fill="EEF1F4"/>
          </w:tcPr>
          <w:p>
            <w:pPr>
              <w:spacing w:after="20" w:before="0"/>
            </w:pPr>
            <w:r>
              <w:rPr>
                <w:rFonts w:ascii="Calibri" w:hAnsi="Calibri" w:eastAsia="Calibri"/>
                <w:b/>
                <w:sz w:val="19"/>
              </w:rPr>
              <w:t>Nombre de parts</w:t>
            </w:r>
          </w:p>
        </w:tc>
        <w:tc>
          <w:tcPr>
            <w:tcW w:type="dxa" w:w="4082"/>
            <w:shd w:val="clear" w:color="auto" w:fill="EEF1F4"/>
          </w:tcPr>
          <w:p>
            <w:pPr>
              <w:spacing w:after="20" w:before="0"/>
            </w:pPr>
            <w:r>
              <w:rPr>
                <w:rFonts w:ascii="Calibri" w:hAnsi="Calibri" w:eastAsia="Calibri"/>
                <w:b/>
                <w:sz w:val="19"/>
              </w:rPr>
              <w:t>Qualité et mode de participation</w:t>
            </w:r>
          </w:p>
        </w:tc>
      </w:tr>
      <w:tr>
        <w:tc>
          <w:tcPr>
            <w:tcW w:type="dxa" w:w="3685"/>
          </w:tcPr>
          <w:p>
            <w:pPr>
              <w:spacing w:after="20" w:before="0"/>
            </w:pPr>
            <w:r>
              <w:rPr>
                <w:rFonts w:ascii="Calibri" w:hAnsi="Calibri" w:eastAsia="Calibri"/>
                <w:sz w:val="19"/>
                <w:highlight w:val="yellow"/>
              </w:rPr>
              <w:t>[Prénom NOM]</w:t>
            </w:r>
          </w:p>
        </w:tc>
        <w:tc>
          <w:tcPr>
            <w:tcW w:type="dxa" w:w="1587"/>
          </w:tcPr>
          <w:p>
            <w:pPr>
              <w:spacing w:after="20" w:before="0"/>
            </w:pPr>
            <w:r>
              <w:rPr>
                <w:rFonts w:ascii="Calibri" w:hAnsi="Calibri" w:eastAsia="Calibri"/>
                <w:sz w:val="19"/>
                <w:highlight w:val="yellow"/>
              </w:rPr>
              <w:t>[…]</w:t>
            </w:r>
          </w:p>
        </w:tc>
        <w:tc>
          <w:tcPr>
            <w:tcW w:type="dxa" w:w="4082"/>
          </w:tcPr>
          <w:p>
            <w:pPr>
              <w:spacing w:after="20" w:before="0"/>
            </w:pPr>
            <w:r>
              <w:rPr>
                <w:rFonts w:ascii="Calibri" w:hAnsi="Calibri" w:eastAsia="Calibri"/>
                <w:sz w:val="19"/>
                <w:highlight w:val="yellow"/>
              </w:rPr>
              <w:t>[pleine propriété / usufruit / nue-propriété / mandataire de l’indivision]</w:t>
            </w:r>
            <w:r>
              <w:rPr>
                <w:rFonts w:ascii="Calibri" w:hAnsi="Calibri" w:eastAsia="Calibri"/>
                <w:sz w:val="19"/>
              </w:rPr>
              <w:t xml:space="preserve"> — </w:t>
            </w:r>
            <w:r>
              <w:rPr>
                <w:rFonts w:ascii="Calibri" w:hAnsi="Calibri" w:eastAsia="Calibri"/>
                <w:sz w:val="19"/>
                <w:highlight w:val="yellow"/>
              </w:rPr>
              <w:t>[présent / représenté par … / vote par correspondance / participation à distance]</w:t>
            </w:r>
          </w:p>
        </w:tc>
      </w:tr>
      <w:tr>
        <w:tc>
          <w:tcPr>
            <w:tcW w:type="dxa" w:w="3685"/>
          </w:tcPr>
          <w:p>
            <w:pPr>
              <w:spacing w:after="20" w:before="0"/>
            </w:pPr>
            <w:r>
              <w:rPr>
                <w:rFonts w:ascii="Calibri" w:hAnsi="Calibri" w:eastAsia="Calibri"/>
                <w:sz w:val="19"/>
                <w:highlight w:val="yellow"/>
              </w:rPr>
              <w:t>[Prénom NOM]</w:t>
            </w:r>
          </w:p>
        </w:tc>
        <w:tc>
          <w:tcPr>
            <w:tcW w:type="dxa" w:w="1587"/>
          </w:tcPr>
          <w:p>
            <w:pPr>
              <w:spacing w:after="20" w:before="0"/>
            </w:pPr>
            <w:r>
              <w:rPr>
                <w:rFonts w:ascii="Calibri" w:hAnsi="Calibri" w:eastAsia="Calibri"/>
                <w:sz w:val="19"/>
                <w:highlight w:val="yellow"/>
              </w:rPr>
              <w:t>[…]</w:t>
            </w:r>
          </w:p>
        </w:tc>
        <w:tc>
          <w:tcPr>
            <w:tcW w:type="dxa" w:w="4082"/>
          </w:tcPr>
          <w:p>
            <w:pPr>
              <w:spacing w:after="20" w:before="0"/>
            </w:pPr>
            <w:r>
              <w:rPr>
                <w:rFonts w:ascii="Calibri" w:hAnsi="Calibri" w:eastAsia="Calibri"/>
                <w:sz w:val="19"/>
                <w:highlight w:val="yellow"/>
              </w:rPr>
              <w:t>[…]</w:t>
            </w:r>
          </w:p>
        </w:tc>
      </w:tr>
      <w:tr>
        <w:tc>
          <w:tcPr>
            <w:tcW w:type="dxa" w:w="3685"/>
          </w:tcPr>
          <w:p>
            <w:pPr>
              <w:spacing w:after="20" w:before="0"/>
            </w:pPr>
            <w:r>
              <w:rPr>
                <w:rFonts w:ascii="Calibri" w:hAnsi="Calibri" w:eastAsia="Calibri"/>
                <w:sz w:val="19"/>
                <w:highlight w:val="yellow"/>
              </w:rPr>
              <w:t>[Prénom NOM]</w:t>
            </w:r>
          </w:p>
        </w:tc>
        <w:tc>
          <w:tcPr>
            <w:tcW w:type="dxa" w:w="1587"/>
          </w:tcPr>
          <w:p>
            <w:pPr>
              <w:spacing w:after="20" w:before="0"/>
            </w:pPr>
            <w:r>
              <w:rPr>
                <w:rFonts w:ascii="Calibri" w:hAnsi="Calibri" w:eastAsia="Calibri"/>
                <w:sz w:val="19"/>
                <w:highlight w:val="yellow"/>
              </w:rPr>
              <w:t>[…]</w:t>
            </w:r>
          </w:p>
        </w:tc>
        <w:tc>
          <w:tcPr>
            <w:tcW w:type="dxa" w:w="4082"/>
          </w:tcPr>
          <w:p>
            <w:pPr>
              <w:spacing w:after="20" w:before="0"/>
            </w:pPr>
            <w:r>
              <w:rPr>
                <w:rFonts w:ascii="Calibri" w:hAnsi="Calibri" w:eastAsia="Calibri"/>
                <w:sz w:val="19"/>
                <w:highlight w:val="yellow"/>
              </w:rPr>
              <w:t>[…]</w:t>
            </w:r>
          </w:p>
        </w:tc>
      </w:tr>
      <w:tr>
        <w:tc>
          <w:tcPr>
            <w:tcW w:type="dxa" w:w="3685"/>
          </w:tcPr>
          <w:p>
            <w:pPr>
              <w:spacing w:after="20" w:before="0"/>
            </w:pPr>
            <w:r>
              <w:rPr>
                <w:rFonts w:ascii="Calibri" w:hAnsi="Calibri" w:eastAsia="Calibri"/>
                <w:b/>
                <w:sz w:val="19"/>
              </w:rPr>
              <w:t>Total</w:t>
            </w:r>
          </w:p>
        </w:tc>
        <w:tc>
          <w:tcPr>
            <w:tcW w:type="dxa" w:w="1587"/>
          </w:tcPr>
          <w:p>
            <w:pPr>
              <w:spacing w:after="20" w:before="0"/>
            </w:pPr>
            <w:r>
              <w:rPr>
                <w:rFonts w:ascii="Calibri" w:hAnsi="Calibri" w:eastAsia="Calibri"/>
                <w:sz w:val="19"/>
                <w:highlight w:val="yellow"/>
              </w:rPr>
              <w:t>[…]</w:t>
            </w:r>
          </w:p>
        </w:tc>
        <w:tc>
          <w:tcPr>
            <w:tcW w:type="dxa" w:w="4082"/>
          </w:tcPr>
          <w:p>
            <w:pPr>
              <w:spacing w:after="20" w:before="0"/>
            </w:pPr>
            <w:r>
              <w:rPr>
                <w:rFonts w:ascii="Calibri" w:hAnsi="Calibri" w:eastAsia="Calibri"/>
                <w:sz w:val="19"/>
              </w:rPr>
            </w:r>
          </w:p>
        </w:tc>
      </w:tr>
    </w:tbl>
    <w:p>
      <w:pPr>
        <w:spacing w:after="120"/>
      </w:pPr>
    </w:p>
    <w:p>
      <w:pPr>
        <w:spacing w:after="120" w:before="0"/>
        <w:jc w:val="both"/>
      </w:pPr>
      <w:r>
        <w:rPr>
          <w:rFonts w:ascii="Calibri" w:hAnsi="Calibri" w:eastAsia="Calibri"/>
          <w:sz w:val="22"/>
          <w:highlight w:val="yellow"/>
        </w:rPr>
        <w:t>[Parts démembrées : inscrire sur deux lignes l’usufruitier et le nu-propriétaire d’une même ligne de parts, sans les additionner dans le total. Parts indivises : inscrire le mandataire unique de l’indivision.]</w:t>
      </w:r>
    </w:p>
    <w:p>
      <w:pPr>
        <w:spacing w:after="160" w:before="0"/>
        <w:jc w:val="both"/>
      </w:pPr>
      <w:r>
        <w:rPr>
          <w:rFonts w:ascii="Calibri" w:hAnsi="Calibri" w:eastAsia="Calibri"/>
          <w:sz w:val="22"/>
        </w:rPr>
        <w:t xml:space="preserve">Le capital social est divisé en </w:t>
      </w:r>
      <w:r>
        <w:rPr>
          <w:rFonts w:ascii="Calibri" w:hAnsi="Calibri" w:eastAsia="Calibri"/>
          <w:sz w:val="22"/>
          <w:highlight w:val="yellow"/>
        </w:rPr>
        <w:t>[nombre]</w:t>
      </w:r>
      <w:r>
        <w:rPr>
          <w:rFonts w:ascii="Calibri" w:hAnsi="Calibri" w:eastAsia="Calibri"/>
          <w:sz w:val="22"/>
        </w:rPr>
        <w:t xml:space="preserve"> parts sociales. Les associés présents, réputés présents, représentés </w:t>
      </w:r>
      <w:r>
        <w:rPr>
          <w:rFonts w:ascii="Calibri" w:hAnsi="Calibri" w:eastAsia="Calibri"/>
          <w:sz w:val="22"/>
          <w:highlight w:val="yellow"/>
        </w:rPr>
        <w:t>[ou ayant voté par correspondance]</w:t>
      </w:r>
      <w:r>
        <w:rPr>
          <w:rFonts w:ascii="Calibri" w:hAnsi="Calibri" w:eastAsia="Calibri"/>
          <w:sz w:val="22"/>
        </w:rPr>
        <w:t xml:space="preserve"> détiennent ensemble </w:t>
      </w:r>
      <w:r>
        <w:rPr>
          <w:rFonts w:ascii="Calibri" w:hAnsi="Calibri" w:eastAsia="Calibri"/>
          <w:sz w:val="22"/>
          <w:highlight w:val="yellow"/>
        </w:rPr>
        <w:t>[nombre]</w:t>
      </w:r>
      <w:r>
        <w:rPr>
          <w:rFonts w:ascii="Calibri" w:hAnsi="Calibri" w:eastAsia="Calibri"/>
          <w:sz w:val="22"/>
        </w:rPr>
        <w:t xml:space="preserve"> parts. </w:t>
      </w:r>
      <w:r>
        <w:rPr>
          <w:rFonts w:ascii="Calibri" w:hAnsi="Calibri" w:eastAsia="Calibri"/>
          <w:sz w:val="22"/>
          <w:highlight w:val="yellow"/>
        </w:rPr>
        <w:t>[Associé(s) absent(s) et non représenté(s) : …]</w:t>
      </w:r>
    </w:p>
    <w:p>
      <w:pPr>
        <w:spacing w:after="160" w:before="0"/>
        <w:jc w:val="both"/>
      </w:pPr>
      <w:r>
        <w:rPr>
          <w:rFonts w:ascii="Calibri" w:hAnsi="Calibri" w:eastAsia="Calibri"/>
          <w:sz w:val="22"/>
        </w:rPr>
        <w:t xml:space="preserve">Chaque résolution doit être adoptée par un ou plusieurs associés représentant plus de la moitié des parts sociales, soit au moins </w:t>
      </w:r>
      <w:r>
        <w:rPr>
          <w:rFonts w:ascii="Calibri" w:hAnsi="Calibri" w:eastAsia="Calibri"/>
          <w:sz w:val="22"/>
          <w:highlight w:val="yellow"/>
        </w:rPr>
        <w:t>[nombre]</w:t>
      </w:r>
      <w:r>
        <w:rPr>
          <w:rFonts w:ascii="Calibri" w:hAnsi="Calibri" w:eastAsia="Calibri"/>
          <w:sz w:val="22"/>
        </w:rPr>
        <w:t xml:space="preserve"> parts </w:t>
      </w:r>
      <w:r>
        <w:rPr>
          <w:rFonts w:ascii="Calibri" w:hAnsi="Calibri" w:eastAsia="Calibri"/>
          <w:sz w:val="22"/>
          <w:highlight w:val="yellow"/>
        </w:rPr>
        <w:t>[sauf stipulation plus exigeante des statuts : article …]</w:t>
      </w:r>
      <w:r>
        <w:rPr>
          <w:rFonts w:ascii="Calibri" w:hAnsi="Calibri" w:eastAsia="Calibri"/>
          <w:sz w:val="22"/>
        </w:rPr>
        <w:t>.</w:t>
      </w:r>
    </w:p>
    <w:p>
      <w:pPr>
        <w:spacing w:after="160" w:before="0"/>
        <w:jc w:val="both"/>
      </w:pPr>
      <w:r>
        <w:rPr>
          <w:rFonts w:ascii="Calibri" w:hAnsi="Calibri" w:eastAsia="Calibri"/>
          <w:sz w:val="22"/>
        </w:rPr>
        <w:t xml:space="preserve">L’assemblée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[gérant / associé présent et acceptant possédant ou représentant le plus grand nombre de parts]</w:t>
      </w:r>
      <w:r>
        <w:rPr>
          <w:rFonts w:ascii="Calibri" w:hAnsi="Calibri" w:eastAsia="Calibri"/>
          <w:sz w:val="22"/>
        </w:rPr>
        <w:t xml:space="preserve">. </w:t>
      </w:r>
      <w:r>
        <w:rPr>
          <w:rFonts w:ascii="Calibri" w:hAnsi="Calibri" w:eastAsia="Calibri"/>
          <w:sz w:val="22"/>
          <w:highlight w:val="yellow"/>
        </w:rPr>
        <w:t>[Le cas échéant : M./Mme … est désigné(e) en qualité de secrétaire de séance.]</w:t>
      </w:r>
      <w:r>
        <w:rPr>
          <w:rFonts w:ascii="Calibri" w:hAnsi="Calibri" w:eastAsia="Calibri"/>
          <w:sz w:val="22"/>
        </w:rPr>
        <w:t xml:space="preserve"> </w:t>
      </w:r>
      <w:r>
        <w:rPr>
          <w:rFonts w:ascii="Calibri" w:hAnsi="Calibri" w:eastAsia="Calibri"/>
          <w:sz w:val="22"/>
          <w:highlight w:val="yellow"/>
        </w:rPr>
        <w:t>[Le cas échéant : le commissaire aux comptes, M./Mme / le cabinet …, est présent / absent.]</w:t>
      </w:r>
    </w:p>
    <w:p>
      <w:pPr>
        <w:spacing w:after="120" w:before="0"/>
      </w:pPr>
      <w:r>
        <w:rPr>
          <w:rFonts w:ascii="Calibri" w:hAnsi="Calibri" w:eastAsia="Calibri"/>
          <w:b/>
          <w:sz w:val="22"/>
        </w:rPr>
        <w:t>Documents soumis à l’assemblée</w:t>
      </w:r>
    </w:p>
    <w:p>
      <w:pPr>
        <w:spacing w:after="80" w:before="0"/>
        <w:jc w:val="both"/>
      </w:pPr>
      <w:r>
        <w:rPr>
          <w:rFonts w:ascii="Calibri" w:hAnsi="Calibri" w:eastAsia="Calibri"/>
          <w:sz w:val="22"/>
        </w:rPr>
        <w:t>Le président de séance dépose sur le bureau et met à la disposition de l’assemblée :</w:t>
      </w:r>
    </w:p>
    <w:p>
      <w:pPr>
        <w:spacing w:after="40" w:before="0"/>
        <w:jc w:val="both"/>
      </w:pPr>
      <w:r>
        <w:rPr>
          <w:rFonts w:ascii="Calibri" w:hAnsi="Calibri" w:eastAsia="Calibri"/>
          <w:sz w:val="22"/>
        </w:rPr>
        <w:t xml:space="preserve">– </w:t>
      </w:r>
      <w:r>
        <w:rPr>
          <w:rFonts w:ascii="Calibri" w:hAnsi="Calibri" w:eastAsia="Calibri"/>
          <w:sz w:val="22"/>
        </w:rPr>
        <w:t>la copie des lettres de convocation et les justificatifs de leur envoi ;</w:t>
      </w:r>
    </w:p>
    <w:p>
      <w:pPr>
        <w:spacing w:after="40" w:before="0"/>
        <w:jc w:val="both"/>
      </w:pPr>
      <w:r>
        <w:rPr>
          <w:rFonts w:ascii="Calibri" w:hAnsi="Calibri" w:eastAsia="Calibri"/>
          <w:sz w:val="22"/>
        </w:rPr>
        <w:t xml:space="preserve">– </w:t>
      </w:r>
      <w:r>
        <w:rPr>
          <w:rFonts w:ascii="Calibri" w:hAnsi="Calibri" w:eastAsia="Calibri"/>
          <w:sz w:val="22"/>
        </w:rPr>
        <w:t xml:space="preserve">les pouvoirs des associés représentés </w:t>
      </w:r>
      <w:r>
        <w:rPr>
          <w:rFonts w:ascii="Calibri" w:hAnsi="Calibri" w:eastAsia="Calibri"/>
          <w:sz w:val="22"/>
          <w:highlight w:val="yellow"/>
        </w:rPr>
        <w:t>[et les formulaires de vote par correspondance]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rPr>
        <w:t xml:space="preserve">les comptes annuels (bilan, compte de résultat et annexe) de l’exercice clos le </w:t>
      </w:r>
      <w:r>
        <w:rPr>
          <w:rFonts w:ascii="Calibri" w:hAnsi="Calibri" w:eastAsia="Calibri"/>
          <w:sz w:val="22"/>
          <w:highlight w:val="yellow"/>
        </w:rPr>
        <w:t>[date]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highlight w:val="yellow"/>
        </w:rPr>
        <w:t>[le rapport de gestion de la gérance ;]</w:t>
      </w:r>
    </w:p>
    <w:p>
      <w:pPr>
        <w:spacing w:after="40" w:before="0"/>
        <w:jc w:val="both"/>
      </w:pPr>
      <w:r>
        <w:rPr>
          <w:rFonts w:ascii="Calibri" w:hAnsi="Calibri" w:eastAsia="Calibri"/>
          <w:sz w:val="22"/>
        </w:rPr>
        <w:t xml:space="preserve">– </w:t>
      </w:r>
      <w:r>
        <w:rPr>
          <w:rFonts w:ascii="Calibri" w:hAnsi="Calibri" w:eastAsia="Calibri"/>
          <w:sz w:val="22"/>
          <w:highlight w:val="yellow"/>
        </w:rPr>
        <w:t>[le rapport du commissaire aux comptes sur les comptes annuels ;]</w:t>
      </w:r>
    </w:p>
    <w:p>
      <w:pPr>
        <w:spacing w:after="40" w:before="0"/>
        <w:jc w:val="both"/>
      </w:pPr>
      <w:r>
        <w:rPr>
          <w:rFonts w:ascii="Calibri" w:hAnsi="Calibri" w:eastAsia="Calibri"/>
          <w:sz w:val="22"/>
        </w:rPr>
        <w:t xml:space="preserve">– </w:t>
      </w:r>
      <w:r>
        <w:rPr>
          <w:rFonts w:ascii="Calibri" w:hAnsi="Calibri" w:eastAsia="Calibri"/>
          <w:sz w:val="22"/>
        </w:rPr>
        <w:t>le rapport sur les conventions visées à l’article L. 223-19 du code de commerce ;</w:t>
      </w:r>
    </w:p>
    <w:p>
      <w:pPr>
        <w:spacing w:after="40" w:before="0"/>
        <w:jc w:val="both"/>
      </w:pPr>
      <w:r>
        <w:rPr>
          <w:rFonts w:ascii="Calibri" w:hAnsi="Calibri" w:eastAsia="Calibri"/>
          <w:sz w:val="22"/>
        </w:rPr>
        <w:t xml:space="preserve">– </w:t>
      </w:r>
      <w:r>
        <w:rPr>
          <w:rFonts w:ascii="Calibri" w:hAnsi="Calibri" w:eastAsia="Calibri"/>
          <w:sz w:val="22"/>
        </w:rPr>
        <w:t>le texte des résolutions proposées ;</w:t>
      </w:r>
    </w:p>
    <w:p>
      <w:pPr>
        <w:spacing w:after="40" w:before="0"/>
        <w:jc w:val="both"/>
      </w:pPr>
      <w:r>
        <w:rPr>
          <w:rFonts w:ascii="Calibri" w:hAnsi="Calibri" w:eastAsia="Calibri"/>
          <w:sz w:val="22"/>
        </w:rPr>
        <w:t xml:space="preserve">– </w:t>
      </w:r>
      <w:r>
        <w:rPr>
          <w:rFonts w:ascii="Calibri" w:hAnsi="Calibri" w:eastAsia="Calibri"/>
          <w:sz w:val="22"/>
        </w:rPr>
        <w:t>un exemplaire à jour des statuts.</w:t>
      </w:r>
    </w:p>
    <w:p>
      <w:pPr>
        <w:spacing w:after="80"/>
      </w:pPr>
    </w:p>
    <w:p>
      <w:pPr>
        <w:spacing w:after="160" w:before="0"/>
        <w:jc w:val="both"/>
      </w:pPr>
      <w:r>
        <w:rPr>
          <w:rFonts w:ascii="Calibri" w:hAnsi="Calibri" w:eastAsia="Calibri"/>
          <w:sz w:val="22"/>
        </w:rPr>
        <w:t>Il rappelle que ces documents ont été adressés aux associés quinze jours au moins avant la date de l’assemblée, et que l’inventaire a été tenu à leur disposition au siège social pendant le même délai.</w:t>
      </w:r>
    </w:p>
    <w:p>
      <w:pPr>
        <w:spacing w:after="120" w:before="0"/>
      </w:pPr>
      <w:r>
        <w:rPr>
          <w:rFonts w:ascii="Calibri" w:hAnsi="Calibri" w:eastAsia="Calibri"/>
          <w:b/>
          <w:sz w:val="22"/>
        </w:rPr>
        <w:t>Ordre du jour</w:t>
      </w:r>
    </w:p>
    <w:p>
      <w:pPr>
        <w:spacing w:after="40" w:before="0"/>
        <w:ind w:left="510" w:hanging="283"/>
        <w:jc w:val="both"/>
      </w:pPr>
      <w:r>
        <w:rPr>
          <w:rFonts w:ascii="Calibri" w:hAnsi="Calibri" w:eastAsia="Calibri"/>
          <w:sz w:val="22"/>
        </w:rPr>
        <w:t xml:space="preserve">1. </w:t>
      </w:r>
      <w:r>
        <w:rPr>
          <w:rFonts w:ascii="Calibri" w:hAnsi="Calibri" w:eastAsia="Calibri"/>
          <w:sz w:val="22"/>
          <w:highlight w:val="yellow"/>
        </w:rPr>
        <w:t>[Rapport de gestion de la gérance]</w:t>
      </w:r>
      <w:r>
        <w:rPr>
          <w:rFonts w:ascii="Calibri" w:hAnsi="Calibri" w:eastAsia="Calibri"/>
          <w:sz w:val="22"/>
        </w:rPr>
        <w:t xml:space="preserve"> </w:t>
      </w:r>
      <w:r>
        <w:rPr>
          <w:rFonts w:ascii="Calibri" w:hAnsi="Calibri" w:eastAsia="Calibri"/>
          <w:sz w:val="22"/>
          <w:highlight w:val="yellow"/>
        </w:rPr>
        <w:t>[et rapport du commissaire aux comptes]</w:t>
      </w:r>
      <w:r>
        <w:rPr>
          <w:rFonts w:ascii="Calibri" w:hAnsi="Calibri" w:eastAsia="Calibri"/>
          <w:sz w:val="22"/>
        </w:rPr>
        <w:t xml:space="preserve"> sur l’exercice clos le </w:t>
      </w:r>
      <w:r>
        <w:rPr>
          <w:rFonts w:ascii="Calibri" w:hAnsi="Calibri" w:eastAsia="Calibri"/>
          <w:sz w:val="22"/>
          <w:highlight w:val="yellow"/>
        </w:rPr>
        <w:t>[date]</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2. </w:t>
      </w:r>
      <w:r>
        <w:rPr>
          <w:rFonts w:ascii="Calibri" w:hAnsi="Calibri" w:eastAsia="Calibri"/>
          <w:sz w:val="22"/>
        </w:rPr>
        <w:t xml:space="preserve">Approbation des comptes annuels de l’exercice clos le </w:t>
      </w:r>
      <w:r>
        <w:rPr>
          <w:rFonts w:ascii="Calibri" w:hAnsi="Calibri" w:eastAsia="Calibri"/>
          <w:sz w:val="22"/>
          <w:highlight w:val="yellow"/>
        </w:rPr>
        <w:t>[date]</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3. </w:t>
      </w:r>
      <w:r>
        <w:rPr>
          <w:rFonts w:ascii="Calibri" w:hAnsi="Calibri" w:eastAsia="Calibri"/>
          <w:sz w:val="22"/>
          <w:highlight w:val="yellow"/>
        </w:rPr>
        <w:t>[Approbation des dépenses et charges non déductibles visées à l’article 39, 4 du code général des impôts ;]</w:t>
      </w:r>
    </w:p>
    <w:p>
      <w:pPr>
        <w:spacing w:after="40" w:before="0"/>
        <w:ind w:left="510" w:hanging="283"/>
        <w:jc w:val="both"/>
      </w:pPr>
      <w:r>
        <w:rPr>
          <w:rFonts w:ascii="Calibri" w:hAnsi="Calibri" w:eastAsia="Calibri"/>
          <w:sz w:val="22"/>
        </w:rPr>
        <w:t xml:space="preserve">4. </w:t>
      </w:r>
      <w:r>
        <w:rPr>
          <w:rFonts w:ascii="Calibri" w:hAnsi="Calibri" w:eastAsia="Calibri"/>
          <w:sz w:val="22"/>
        </w:rPr>
        <w:t xml:space="preserve">Quitus </w:t>
      </w:r>
      <w:r>
        <w:rPr>
          <w:rFonts w:ascii="Calibri" w:hAnsi="Calibri" w:eastAsia="Calibri"/>
          <w:sz w:val="22"/>
          <w:highlight w:val="yellow"/>
        </w:rPr>
        <w:t>[au gérant / aux gérants]</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5. </w:t>
      </w:r>
      <w:r>
        <w:rPr>
          <w:rFonts w:ascii="Calibri" w:hAnsi="Calibri" w:eastAsia="Calibri"/>
          <w:sz w:val="22"/>
        </w:rPr>
        <w:t>Affectation du résultat de l’exercice ;</w:t>
      </w:r>
    </w:p>
    <w:p>
      <w:pPr>
        <w:spacing w:after="40" w:before="0"/>
        <w:ind w:left="510" w:hanging="283"/>
        <w:jc w:val="both"/>
      </w:pPr>
      <w:r>
        <w:rPr>
          <w:rFonts w:ascii="Calibri" w:hAnsi="Calibri" w:eastAsia="Calibri"/>
          <w:sz w:val="22"/>
        </w:rPr>
        <w:t xml:space="preserve">6. </w:t>
      </w:r>
      <w:r>
        <w:rPr>
          <w:rFonts w:ascii="Calibri" w:hAnsi="Calibri" w:eastAsia="Calibri"/>
          <w:sz w:val="22"/>
        </w:rPr>
        <w:t>Rapport sur les conventions visées à l’article L. 223-19 du code de commerce et approbation de ces conventions ;</w:t>
      </w:r>
    </w:p>
    <w:p>
      <w:pPr>
        <w:spacing w:after="40" w:before="0"/>
        <w:ind w:left="510" w:hanging="283"/>
        <w:jc w:val="both"/>
      </w:pPr>
      <w:r>
        <w:rPr>
          <w:rFonts w:ascii="Calibri" w:hAnsi="Calibri" w:eastAsia="Calibri"/>
          <w:sz w:val="22"/>
        </w:rPr>
        <w:t xml:space="preserve">7. </w:t>
      </w:r>
      <w:r>
        <w:rPr>
          <w:rFonts w:ascii="Calibri" w:hAnsi="Calibri" w:eastAsia="Calibri"/>
          <w:sz w:val="22"/>
          <w:highlight w:val="yellow"/>
        </w:rPr>
        <w:t>[Autre point]</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8. </w:t>
      </w:r>
      <w:r>
        <w:rPr>
          <w:rFonts w:ascii="Calibri" w:hAnsi="Calibri" w:eastAsia="Calibri"/>
          <w:sz w:val="22"/>
        </w:rPr>
        <w:t>Pouvoirs pour l’accomplissement des formalités.</w:t>
      </w:r>
    </w:p>
    <w:p>
      <w:pPr>
        <w:spacing w:after="120"/>
      </w:pPr>
    </w:p>
    <w:p>
      <w:pPr>
        <w:spacing w:after="120" w:before="0"/>
      </w:pPr>
      <w:r>
        <w:rPr>
          <w:rFonts w:ascii="Calibri" w:hAnsi="Calibri" w:eastAsia="Calibri"/>
          <w:b/>
          <w:sz w:val="22"/>
        </w:rPr>
        <w:t>Questions écrites</w:t>
      </w:r>
    </w:p>
    <w:p>
      <w:pPr>
        <w:spacing w:after="80" w:before="0"/>
        <w:jc w:val="both"/>
      </w:pPr>
      <w:r>
        <w:rPr>
          <w:rFonts w:ascii="Calibri" w:hAnsi="Calibri" w:eastAsia="Calibri"/>
          <w:b/>
          <w:sz w:val="22"/>
          <w:highlight w:val="yellow"/>
        </w:rPr>
        <w:t>[Option A]</w:t>
      </w:r>
      <w:r>
        <w:rPr>
          <w:rFonts w:ascii="Calibri" w:hAnsi="Calibri" w:eastAsia="Calibri"/>
          <w:sz w:val="22"/>
        </w:rPr>
        <w:t xml:space="preserve"> La gérance n’a reçu aucune question écrite.</w:t>
      </w:r>
    </w:p>
    <w:p>
      <w:pPr>
        <w:spacing w:after="160" w:before="0"/>
        <w:jc w:val="both"/>
      </w:pPr>
      <w:r>
        <w:rPr>
          <w:rFonts w:ascii="Calibri" w:hAnsi="Calibri" w:eastAsia="Calibri"/>
          <w:b/>
          <w:sz w:val="22"/>
          <w:highlight w:val="yellow"/>
        </w:rPr>
        <w:t>[Option B]</w:t>
      </w:r>
      <w:r>
        <w:rPr>
          <w:rFonts w:ascii="Calibri" w:hAnsi="Calibri" w:eastAsia="Calibri"/>
          <w:sz w:val="22"/>
        </w:rPr>
        <w:t xml:space="preserve"> La gérance a reçu de </w:t>
      </w:r>
      <w:r>
        <w:rPr>
          <w:rFonts w:ascii="Calibri" w:hAnsi="Calibri" w:eastAsia="Calibri"/>
          <w:sz w:val="22"/>
          <w:highlight w:val="yellow"/>
        </w:rPr>
        <w:t>[Prénom NOM]</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les questions écrites suivantes : </w:t>
      </w:r>
      <w:r>
        <w:rPr>
          <w:rFonts w:ascii="Calibri" w:hAnsi="Calibri" w:eastAsia="Calibri"/>
          <w:sz w:val="22"/>
          <w:highlight w:val="yellow"/>
        </w:rPr>
        <w:t>[résumé des questions]</w:t>
      </w:r>
      <w:r>
        <w:rPr>
          <w:rFonts w:ascii="Calibri" w:hAnsi="Calibri" w:eastAsia="Calibri"/>
          <w:sz w:val="22"/>
        </w:rPr>
        <w:t xml:space="preserve">. Il y est répondu en séance comme suit : </w:t>
      </w:r>
      <w:r>
        <w:rPr>
          <w:rFonts w:ascii="Calibri" w:hAnsi="Calibri" w:eastAsia="Calibri"/>
          <w:sz w:val="22"/>
          <w:highlight w:val="yellow"/>
        </w:rPr>
        <w:t>[résumé des réponses]</w:t>
      </w:r>
      <w:r>
        <w:rPr>
          <w:rFonts w:ascii="Calibri" w:hAnsi="Calibri" w:eastAsia="Calibri"/>
          <w:sz w:val="22"/>
        </w:rPr>
        <w:t>.</w:t>
      </w:r>
    </w:p>
    <w:p>
      <w:pPr>
        <w:spacing w:after="120" w:before="0"/>
      </w:pPr>
      <w:r>
        <w:rPr>
          <w:rFonts w:ascii="Calibri" w:hAnsi="Calibri" w:eastAsia="Calibri"/>
          <w:b/>
          <w:sz w:val="22"/>
        </w:rPr>
        <w:t>Débats</w:t>
      </w:r>
    </w:p>
    <w:p>
      <w:pPr>
        <w:spacing w:after="160" w:before="0"/>
        <w:jc w:val="both"/>
      </w:pPr>
      <w:r>
        <w:rPr>
          <w:rFonts w:ascii="Calibri" w:hAnsi="Calibri" w:eastAsia="Calibri"/>
          <w:sz w:val="22"/>
        </w:rPr>
        <w:t xml:space="preserve">Il est donné lecture </w:t>
      </w:r>
      <w:r>
        <w:rPr>
          <w:rFonts w:ascii="Calibri" w:hAnsi="Calibri" w:eastAsia="Calibri"/>
          <w:sz w:val="22"/>
          <w:highlight w:val="yellow"/>
        </w:rPr>
        <w:t>[du rapport de gestion de la gérance,]</w:t>
      </w:r>
      <w:r>
        <w:rPr>
          <w:rFonts w:ascii="Calibri" w:hAnsi="Calibri" w:eastAsia="Calibri"/>
          <w:sz w:val="22"/>
        </w:rPr>
        <w:t xml:space="preserve"> </w:t>
      </w:r>
      <w:r>
        <w:rPr>
          <w:rFonts w:ascii="Calibri" w:hAnsi="Calibri" w:eastAsia="Calibri"/>
          <w:sz w:val="22"/>
          <w:highlight w:val="yellow"/>
        </w:rPr>
        <w:t>[du rapport du commissaire aux comptes]</w:t>
      </w:r>
      <w:r>
        <w:rPr>
          <w:rFonts w:ascii="Calibri" w:hAnsi="Calibri" w:eastAsia="Calibri"/>
          <w:sz w:val="22"/>
        </w:rPr>
        <w:t xml:space="preserve"> et du rapport sur les conventions. Le président de séance ouvre la discussion. </w:t>
      </w:r>
      <w:r>
        <w:rPr>
          <w:rFonts w:ascii="Calibri" w:hAnsi="Calibri" w:eastAsia="Calibri"/>
          <w:sz w:val="22"/>
          <w:highlight w:val="yellow"/>
        </w:rPr>
        <w:t>[Résumé des principaux échanges : …]</w:t>
      </w:r>
    </w:p>
    <w:p>
      <w:pPr>
        <w:spacing w:after="160" w:before="0"/>
        <w:jc w:val="both"/>
      </w:pPr>
      <w:r>
        <w:rPr>
          <w:rFonts w:ascii="Calibri" w:hAnsi="Calibri" w:eastAsia="Calibri"/>
          <w:sz w:val="22"/>
          <w:highlight w:val="yellow"/>
        </w:rPr>
        <w:t>[Le cas échéant : un incident technique relatif à la visioconférence ou à la télécommunication électronique est survenu à … heures ; il a perturbé le déroulement de l’assemblée de la manière suivante : …]</w:t>
      </w:r>
    </w:p>
    <w:p>
      <w:pPr>
        <w:spacing w:after="240" w:before="0"/>
        <w:jc w:val="both"/>
      </w:pPr>
      <w:r>
        <w:rPr>
          <w:rFonts w:ascii="Calibri" w:hAnsi="Calibri" w:eastAsia="Calibri"/>
          <w:sz w:val="22"/>
        </w:rPr>
        <w:t>Personne ne demandant plus la parole, le président de séance met successivement aux voix les résolutions suivantes.</w:t>
      </w:r>
    </w:p>
    <w:p>
      <w:pPr>
        <w:spacing w:after="120" w:before="0"/>
      </w:pPr>
      <w:r>
        <w:rPr>
          <w:rFonts w:ascii="Calibri" w:hAnsi="Calibri" w:eastAsia="Calibri"/>
          <w:b/>
          <w:sz w:val="22"/>
        </w:rPr>
        <w:t>PREMIÈRE RÉSOLUTION — Approbation des comptes</w:t>
      </w:r>
    </w:p>
    <w:p>
      <w:pPr>
        <w:spacing w:after="160" w:before="0"/>
        <w:jc w:val="both"/>
      </w:pPr>
      <w:r>
        <w:rPr>
          <w:rFonts w:ascii="Calibri" w:hAnsi="Calibri" w:eastAsia="Calibri"/>
          <w:sz w:val="22"/>
        </w:rPr>
        <w:t xml:space="preserve">L’assemblée générale, après avoir pris connaissance </w:t>
      </w:r>
      <w:r>
        <w:rPr>
          <w:rFonts w:ascii="Calibri" w:hAnsi="Calibri" w:eastAsia="Calibri"/>
          <w:sz w:val="22"/>
          <w:highlight w:val="yellow"/>
        </w:rPr>
        <w:t>[du rapport de gestion de la gérance,]</w:t>
      </w:r>
      <w:r>
        <w:rPr>
          <w:rFonts w:ascii="Calibri" w:hAnsi="Calibri" w:eastAsia="Calibri"/>
          <w:sz w:val="22"/>
        </w:rPr>
        <w:t xml:space="preserve"> </w:t>
      </w:r>
      <w:r>
        <w:rPr>
          <w:rFonts w:ascii="Calibri" w:hAnsi="Calibri" w:eastAsia="Calibri"/>
          <w:sz w:val="22"/>
          <w:highlight w:val="yellow"/>
        </w:rPr>
        <w:t>[du rapport du commissaire aux comptes]</w:t>
      </w:r>
      <w:r>
        <w:rPr>
          <w:rFonts w:ascii="Calibri" w:hAnsi="Calibri" w:eastAsia="Calibri"/>
          <w:sz w:val="22"/>
        </w:rPr>
        <w:t xml:space="preserve"> et des comptes annuels de l’exercice clos le </w:t>
      </w:r>
      <w:r>
        <w:rPr>
          <w:rFonts w:ascii="Calibri" w:hAnsi="Calibri" w:eastAsia="Calibri"/>
          <w:sz w:val="22"/>
          <w:highlight w:val="yellow"/>
        </w:rPr>
        <w:t>[date]</w:t>
      </w:r>
      <w:r>
        <w:rPr>
          <w:rFonts w:ascii="Calibri" w:hAnsi="Calibri" w:eastAsia="Calibri"/>
          <w:sz w:val="22"/>
        </w:rPr>
        <w:t xml:space="preserve">, approuve ces comptes (bilan, compte de résultat et annexe) tels qu’ils lui ont été présentés, faisant apparaître </w:t>
      </w:r>
      <w:r>
        <w:rPr>
          <w:rFonts w:ascii="Calibri" w:hAnsi="Calibri" w:eastAsia="Calibri"/>
          <w:sz w:val="22"/>
          <w:highlight w:val="yellow"/>
        </w:rPr>
        <w:t>[un bénéfice / une perte]</w:t>
      </w:r>
      <w:r>
        <w:rPr>
          <w:rFonts w:ascii="Calibri" w:hAnsi="Calibri" w:eastAsia="Calibri"/>
          <w:sz w:val="22"/>
        </w:rPr>
        <w:t xml:space="preserve"> de </w:t>
      </w:r>
      <w:r>
        <w:rPr>
          <w:rFonts w:ascii="Calibri" w:hAnsi="Calibri" w:eastAsia="Calibri"/>
          <w:sz w:val="22"/>
          <w:highlight w:val="yellow"/>
        </w:rPr>
        <w:t>[montant]</w:t>
      </w:r>
      <w:r>
        <w:rPr>
          <w:rFonts w:ascii="Calibri" w:hAnsi="Calibri" w:eastAsia="Calibri"/>
          <w:sz w:val="22"/>
        </w:rPr>
        <w:t xml:space="preserve"> €, ainsi que les opérations traduites dans ces comptes </w:t>
      </w:r>
      <w:r>
        <w:rPr>
          <w:rFonts w:ascii="Calibri" w:hAnsi="Calibri" w:eastAsia="Calibri"/>
          <w:sz w:val="22"/>
          <w:highlight w:val="yellow"/>
        </w:rPr>
        <w:t>[ou résumées dans ce rapport]</w:t>
      </w:r>
      <w:r>
        <w:rPr>
          <w:rFonts w:ascii="Calibri" w:hAnsi="Calibri" w:eastAsia="Calibri"/>
          <w:sz w:val="22"/>
        </w:rPr>
        <w:t>.</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rPr>
        <w:t>DEUXIÈME RÉSOLUTION — Dépenses et charges non déductibles</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En application de l’article 223 quater du code général des impôts, l’assemblée approuve le montant global des dépenses et charges visées à l’article 39, 4 du même code, soit </w:t>
      </w:r>
      <w:r>
        <w:rPr>
          <w:rFonts w:ascii="Calibri" w:hAnsi="Calibri" w:eastAsia="Calibri"/>
          <w:sz w:val="22"/>
          <w:highlight w:val="yellow"/>
        </w:rPr>
        <w:t>[montant]</w:t>
      </w:r>
      <w:r>
        <w:rPr>
          <w:rFonts w:ascii="Calibri" w:hAnsi="Calibri" w:eastAsia="Calibri"/>
          <w:sz w:val="22"/>
        </w:rPr>
        <w:t xml:space="preserve"> €, ainsi que l’impôt supporté en raison de ces dépenses et charges, soit </w:t>
      </w:r>
      <w:r>
        <w:rPr>
          <w:rFonts w:ascii="Calibri" w:hAnsi="Calibri" w:eastAsia="Calibri"/>
          <w:sz w:val="22"/>
          <w:highlight w:val="yellow"/>
        </w:rPr>
        <w:t>[montant]</w:t>
      </w:r>
      <w:r>
        <w:rPr>
          <w:rFonts w:ascii="Calibri" w:hAnsi="Calibri" w:eastAsia="Calibri"/>
          <w:sz w:val="22"/>
        </w:rPr>
        <w:t xml:space="preserve"> €.</w:t>
      </w:r>
    </w:p>
    <w:p>
      <w:pPr>
        <w:spacing w:after="160" w:before="0"/>
        <w:jc w:val="both"/>
      </w:pPr>
      <w:r>
        <w:rPr>
          <w:rFonts w:ascii="Calibri" w:hAnsi="Calibri" w:eastAsia="Calibri"/>
          <w:sz w:val="22"/>
          <w:highlight w:val="yellow"/>
        </w:rPr>
        <w:t>[Ou : supprimer cette résolution si la société n’a supporté aucune dépense de cette nature ou n’est pas soumise à l’impôt sur les sociétés, et renuméroter les suivantes.]</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rPr>
        <w:t>TROISIÈME RÉSOLUTION — Quitus</w:t>
      </w:r>
    </w:p>
    <w:p>
      <w:pPr>
        <w:spacing w:after="160" w:before="0"/>
        <w:jc w:val="both"/>
      </w:pPr>
      <w:r>
        <w:rPr>
          <w:rFonts w:ascii="Calibri" w:hAnsi="Calibri" w:eastAsia="Calibri"/>
          <w:sz w:val="22"/>
        </w:rPr>
        <w:t xml:space="preserve">L’assemblée donne quitus </w:t>
      </w:r>
      <w:r>
        <w:rPr>
          <w:rFonts w:ascii="Calibri" w:hAnsi="Calibri" w:eastAsia="Calibri"/>
          <w:sz w:val="22"/>
          <w:highlight w:val="yellow"/>
        </w:rPr>
        <w:t>[à M./Mme …, gérant(e) / aux gérants]</w:t>
      </w:r>
      <w:r>
        <w:rPr>
          <w:rFonts w:ascii="Calibri" w:hAnsi="Calibri" w:eastAsia="Calibri"/>
          <w:sz w:val="22"/>
        </w:rPr>
        <w:t xml:space="preserve"> de l’exécution de </w:t>
      </w:r>
      <w:r>
        <w:rPr>
          <w:rFonts w:ascii="Calibri" w:hAnsi="Calibri" w:eastAsia="Calibri"/>
          <w:sz w:val="22"/>
          <w:highlight w:val="yellow"/>
        </w:rPr>
        <w:t>[son / leur]</w:t>
      </w:r>
      <w:r>
        <w:rPr>
          <w:rFonts w:ascii="Calibri" w:hAnsi="Calibri" w:eastAsia="Calibri"/>
          <w:sz w:val="22"/>
        </w:rPr>
        <w:t xml:space="preserve"> mandat pour l’exercice écoulé.</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rPr>
        <w:t>QUATRIÈME RÉSOLUTION — Affectation du résultat</w:t>
      </w:r>
    </w:p>
    <w:p>
      <w:pPr>
        <w:spacing w:after="80" w:before="0"/>
        <w:jc w:val="both"/>
      </w:pPr>
      <w:r>
        <w:rPr>
          <w:rFonts w:ascii="Calibri" w:hAnsi="Calibri" w:eastAsia="Calibri"/>
          <w:sz w:val="22"/>
        </w:rPr>
        <w:t xml:space="preserve">L’assemblée, constatant que l’exercice clos le </w:t>
      </w:r>
      <w:r>
        <w:rPr>
          <w:rFonts w:ascii="Calibri" w:hAnsi="Calibri" w:eastAsia="Calibri"/>
          <w:sz w:val="22"/>
          <w:highlight w:val="yellow"/>
        </w:rPr>
        <w:t>[date]</w:t>
      </w:r>
      <w:r>
        <w:rPr>
          <w:rFonts w:ascii="Calibri" w:hAnsi="Calibri" w:eastAsia="Calibri"/>
          <w:sz w:val="22"/>
        </w:rPr>
        <w:t xml:space="preserve"> se solde par </w:t>
      </w:r>
      <w:r>
        <w:rPr>
          <w:rFonts w:ascii="Calibri" w:hAnsi="Calibri" w:eastAsia="Calibri"/>
          <w:sz w:val="22"/>
          <w:highlight w:val="yellow"/>
        </w:rPr>
        <w:t>[un bénéfice / une perte]</w:t>
      </w:r>
      <w:r>
        <w:rPr>
          <w:rFonts w:ascii="Calibri" w:hAnsi="Calibri" w:eastAsia="Calibri"/>
          <w:sz w:val="22"/>
        </w:rPr>
        <w:t xml:space="preserve"> de </w:t>
      </w:r>
      <w:r>
        <w:rPr>
          <w:rFonts w:ascii="Calibri" w:hAnsi="Calibri" w:eastAsia="Calibri"/>
          <w:sz w:val="22"/>
          <w:highlight w:val="yellow"/>
        </w:rPr>
        <w:t>[montant]</w:t>
      </w:r>
      <w:r>
        <w:rPr>
          <w:rFonts w:ascii="Calibri" w:hAnsi="Calibri" w:eastAsia="Calibri"/>
          <w:sz w:val="22"/>
        </w:rPr>
        <w:t xml:space="preserve"> €, décide de l’affecter comme suit :</w:t>
      </w:r>
    </w:p>
    <w:tbl>
      <w:tblPr>
        <w:tblStyle w:val="TableGrid"/>
        <w:tblW w:type="auto" w:w="0"/>
        <w:jc w:val="center"/>
        <w:tblLayout w:type="fixed"/>
        <w:tblLook w:firstColumn="1" w:firstRow="1" w:lastColumn="0" w:lastRow="0" w:noHBand="0" w:noVBand="1" w:val="04A0"/>
      </w:tblPr>
      <w:tblGrid>
        <w:gridCol w:w="6803"/>
        <w:gridCol w:w="2551"/>
      </w:tblGrid>
      <w:tr>
        <w:tc>
          <w:tcPr>
            <w:tcW w:type="dxa" w:w="6803"/>
            <w:shd w:val="clear" w:color="auto" w:fill="EEF1F4"/>
          </w:tcPr>
          <w:p>
            <w:pPr>
              <w:spacing w:after="20" w:before="0"/>
            </w:pPr>
            <w:r>
              <w:rPr>
                <w:rFonts w:ascii="Calibri" w:hAnsi="Calibri" w:eastAsia="Calibri"/>
                <w:b/>
                <w:sz w:val="19"/>
              </w:rPr>
              <w:t>Poste</w:t>
            </w:r>
          </w:p>
        </w:tc>
        <w:tc>
          <w:tcPr>
            <w:tcW w:type="dxa" w:w="2551"/>
            <w:shd w:val="clear" w:color="auto" w:fill="EEF1F4"/>
          </w:tcPr>
          <w:p>
            <w:pPr>
              <w:spacing w:after="20" w:before="0"/>
            </w:pPr>
            <w:r>
              <w:rPr>
                <w:rFonts w:ascii="Calibri" w:hAnsi="Calibri" w:eastAsia="Calibri"/>
                <w:b/>
                <w:sz w:val="19"/>
              </w:rPr>
              <w:t>Montant</w:t>
            </w:r>
          </w:p>
        </w:tc>
      </w:tr>
      <w:tr>
        <w:tc>
          <w:tcPr>
            <w:tcW w:type="dxa" w:w="6803"/>
          </w:tcPr>
          <w:p>
            <w:pPr>
              <w:spacing w:after="20" w:before="0"/>
            </w:pPr>
            <w:r>
              <w:rPr>
                <w:rFonts w:ascii="Calibri" w:hAnsi="Calibri" w:eastAsia="Calibri"/>
                <w:sz w:val="19"/>
              </w:rPr>
              <w:t xml:space="preserve">Résultat de l’exercice </w:t>
            </w:r>
            <w:r>
              <w:rPr>
                <w:rFonts w:ascii="Calibri" w:hAnsi="Calibri" w:eastAsia="Calibri"/>
                <w:sz w:val="19"/>
                <w:highlight w:val="yellow"/>
              </w:rPr>
              <w:t>[bénéfice / perte]</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Report à nouveau antérieur </w:t>
            </w:r>
            <w:r>
              <w:rPr>
                <w:rFonts w:ascii="Calibri" w:hAnsi="Calibri" w:eastAsia="Calibri"/>
                <w:sz w:val="19"/>
                <w:highlight w:val="yellow"/>
              </w:rPr>
              <w:t>[créditeur / débiteur]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Total à affecter</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Dotation à la réserve légale </w:t>
            </w:r>
            <w:r>
              <w:rPr>
                <w:rFonts w:ascii="Calibri" w:hAnsi="Calibri" w:eastAsia="Calibri"/>
                <w:sz w:val="19"/>
                <w:highlight w:val="yellow"/>
              </w:rPr>
              <w:t>[un vingtième au moins du bénéfice, diminué le cas échéant des pertes antérieures, tant que la réserve n’atteint pas le dixième du capital]</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 xml:space="preserve">Autres réserves </w:t>
            </w:r>
            <w:r>
              <w:rPr>
                <w:rFonts w:ascii="Calibri" w:hAnsi="Calibri" w:eastAsia="Calibri"/>
                <w:sz w:val="19"/>
                <w:highlight w:val="yellow"/>
              </w:rPr>
              <w:t>[statutaires / facultatives]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sz w:val="19"/>
              </w:rPr>
              <w:t>Dividendes</w:t>
            </w:r>
          </w:p>
        </w:tc>
        <w:tc>
          <w:tcPr>
            <w:tcW w:type="dxa" w:w="2551"/>
          </w:tcPr>
          <w:p>
            <w:pPr>
              <w:spacing w:after="20" w:before="0"/>
            </w:pPr>
            <w:r>
              <w:rPr>
                <w:rFonts w:ascii="Calibri" w:hAnsi="Calibri" w:eastAsia="Calibri"/>
                <w:sz w:val="19"/>
                <w:highlight w:val="yellow"/>
              </w:rPr>
              <w:t>[…] €</w:t>
            </w:r>
          </w:p>
        </w:tc>
      </w:tr>
      <w:tr>
        <w:tc>
          <w:tcPr>
            <w:tcW w:type="dxa" w:w="6803"/>
          </w:tcPr>
          <w:p>
            <w:pPr>
              <w:spacing w:after="20" w:before="0"/>
            </w:pPr>
            <w:r>
              <w:rPr>
                <w:rFonts w:ascii="Calibri" w:hAnsi="Calibri" w:eastAsia="Calibri"/>
                <w:b/>
                <w:sz w:val="19"/>
              </w:rPr>
              <w:t>Nouveau solde du report à nouveau</w:t>
            </w:r>
          </w:p>
        </w:tc>
        <w:tc>
          <w:tcPr>
            <w:tcW w:type="dxa" w:w="2551"/>
          </w:tcPr>
          <w:p>
            <w:pPr>
              <w:spacing w:after="20" w:before="0"/>
            </w:pPr>
            <w:r>
              <w:rPr>
                <w:rFonts w:ascii="Calibri" w:hAnsi="Calibri" w:eastAsia="Calibri"/>
                <w:sz w:val="19"/>
                <w:highlight w:val="yellow"/>
              </w:rPr>
              <w:t>[…] €</w:t>
            </w:r>
          </w:p>
        </w:tc>
      </w:tr>
    </w:tbl>
    <w:p>
      <w:pPr>
        <w:spacing w:after="120"/>
      </w:pPr>
    </w:p>
    <w:p>
      <w:pPr>
        <w:spacing w:after="160" w:before="0"/>
        <w:jc w:val="both"/>
      </w:pPr>
      <w:r>
        <w:rPr>
          <w:rFonts w:ascii="Calibri" w:hAnsi="Calibri" w:eastAsia="Calibri"/>
          <w:sz w:val="22"/>
          <w:highlight w:val="yellow"/>
        </w:rPr>
        <w:t>[En cas de distribution :]</w:t>
      </w:r>
      <w:r>
        <w:rPr>
          <w:rFonts w:ascii="Calibri" w:hAnsi="Calibri" w:eastAsia="Calibri"/>
          <w:sz w:val="22"/>
        </w:rPr>
        <w:t xml:space="preserve"> Le dividende revenant à chaque part sociale est fixé à </w:t>
      </w:r>
      <w:r>
        <w:rPr>
          <w:rFonts w:ascii="Calibri" w:hAnsi="Calibri" w:eastAsia="Calibri"/>
          <w:sz w:val="22"/>
          <w:highlight w:val="yellow"/>
        </w:rPr>
        <w:t>[montant]</w:t>
      </w:r>
      <w:r>
        <w:rPr>
          <w:rFonts w:ascii="Calibri" w:hAnsi="Calibri" w:eastAsia="Calibri"/>
          <w:sz w:val="22"/>
        </w:rPr>
        <w:t xml:space="preserve"> €. Il sera mis en paiement le </w:t>
      </w:r>
      <w:r>
        <w:rPr>
          <w:rFonts w:ascii="Calibri" w:hAnsi="Calibri" w:eastAsia="Calibri"/>
          <w:sz w:val="22"/>
          <w:highlight w:val="yellow"/>
        </w:rPr>
        <w:t>[date — au plus tard neuf mois après la clôture de l’exercice, sauf prolongation judiciaire]</w:t>
      </w:r>
      <w:r>
        <w:rPr>
          <w:rFonts w:ascii="Calibri" w:hAnsi="Calibri" w:eastAsia="Calibri"/>
          <w:sz w:val="22"/>
        </w:rPr>
        <w:t xml:space="preserve"> </w:t>
      </w:r>
      <w:r>
        <w:rPr>
          <w:rFonts w:ascii="Calibri" w:hAnsi="Calibri" w:eastAsia="Calibri"/>
          <w:sz w:val="22"/>
          <w:highlight w:val="yellow"/>
        </w:rPr>
        <w:t>[par virement sur le compte de chaque associé]</w:t>
      </w:r>
      <w:r>
        <w:rPr>
          <w:rFonts w:ascii="Calibri" w:hAnsi="Calibri" w:eastAsia="Calibri"/>
          <w:sz w:val="22"/>
        </w:rPr>
        <w:t>.</w:t>
      </w:r>
    </w:p>
    <w:p>
      <w:pPr>
        <w:spacing w:after="160" w:before="0"/>
        <w:jc w:val="both"/>
      </w:pPr>
      <w:r>
        <w:rPr>
          <w:rFonts w:ascii="Calibri" w:hAnsi="Calibri" w:eastAsia="Calibri"/>
          <w:sz w:val="22"/>
          <w:highlight w:val="yellow"/>
        </w:rPr>
        <w:t>[En cas de distribution prélevée sur des réserves :]</w:t>
      </w:r>
      <w:r>
        <w:rPr>
          <w:rFonts w:ascii="Calibri" w:hAnsi="Calibri" w:eastAsia="Calibri"/>
          <w:sz w:val="22"/>
        </w:rPr>
        <w:t xml:space="preserve"> La somme de </w:t>
      </w:r>
      <w:r>
        <w:rPr>
          <w:rFonts w:ascii="Calibri" w:hAnsi="Calibri" w:eastAsia="Calibri"/>
          <w:sz w:val="22"/>
          <w:highlight w:val="yellow"/>
        </w:rPr>
        <w:t>[montant]</w:t>
      </w:r>
      <w:r>
        <w:rPr>
          <w:rFonts w:ascii="Calibri" w:hAnsi="Calibri" w:eastAsia="Calibri"/>
          <w:sz w:val="22"/>
        </w:rPr>
        <w:t xml:space="preserve"> € est prélevée sur le poste </w:t>
      </w:r>
      <w:r>
        <w:rPr>
          <w:rFonts w:ascii="Calibri" w:hAnsi="Calibri" w:eastAsia="Calibri"/>
          <w:sz w:val="22"/>
          <w:highlight w:val="yellow"/>
        </w:rPr>
        <w:t>[intitulé exact du poste de réserves]</w:t>
      </w:r>
      <w:r>
        <w:rPr>
          <w:rFonts w:ascii="Calibri" w:hAnsi="Calibri" w:eastAsia="Calibri"/>
          <w:sz w:val="22"/>
        </w:rPr>
        <w:t>, les dividendes étant prélevés par priorité sur le bénéfice distribuable de l’exercice.</w:t>
      </w:r>
    </w:p>
    <w:p>
      <w:pPr>
        <w:spacing w:after="160" w:before="0"/>
        <w:jc w:val="both"/>
      </w:pPr>
      <w:r>
        <w:rPr>
          <w:rFonts w:ascii="Calibri" w:hAnsi="Calibri" w:eastAsia="Calibri"/>
          <w:sz w:val="22"/>
          <w:highlight w:val="yellow"/>
        </w:rPr>
        <w:t>[En cas de perte :]</w:t>
      </w:r>
      <w:r>
        <w:rPr>
          <w:rFonts w:ascii="Calibri" w:hAnsi="Calibri" w:eastAsia="Calibri"/>
          <w:sz w:val="22"/>
        </w:rPr>
        <w:t xml:space="preserve"> La perte de l’exercice est affectée en totalité au compte « report à nouveau », qui est ainsi porté à </w:t>
      </w:r>
      <w:r>
        <w:rPr>
          <w:rFonts w:ascii="Calibri" w:hAnsi="Calibri" w:eastAsia="Calibri"/>
          <w:sz w:val="22"/>
          <w:highlight w:val="yellow"/>
        </w:rPr>
        <w:t>[montant]</w:t>
      </w:r>
      <w:r>
        <w:rPr>
          <w:rFonts w:ascii="Calibri" w:hAnsi="Calibri" w:eastAsia="Calibri"/>
          <w:sz w:val="22"/>
        </w:rPr>
        <w:t xml:space="preserve"> €.</w:t>
      </w:r>
    </w:p>
    <w:p>
      <w:pPr>
        <w:spacing w:after="80" w:before="0"/>
        <w:jc w:val="both"/>
      </w:pPr>
      <w:r>
        <w:rPr>
          <w:rFonts w:ascii="Calibri" w:hAnsi="Calibri" w:eastAsia="Calibri"/>
          <w:sz w:val="22"/>
        </w:rPr>
        <w:t xml:space="preserve">Conformément à l’article 243 bis du code général des impôts, l’assemblée prend acte que les dividendes mis en distribution au titre des trois exercices précédents ont été les suivants </w:t>
      </w:r>
      <w:r>
        <w:rPr>
          <w:rFonts w:ascii="Calibri" w:hAnsi="Calibri" w:eastAsia="Calibri"/>
          <w:sz w:val="22"/>
          <w:highlight w:val="yellow"/>
        </w:rPr>
        <w:t>[ou : qu’aucun dividende n’a été mis en distribution au titre des trois exercices précédents]</w:t>
      </w:r>
      <w:r>
        <w:rPr>
          <w:rFonts w:ascii="Calibri" w:hAnsi="Calibri" w:eastAsia="Calibri"/>
          <w:sz w:val="22"/>
        </w:rPr>
        <w:t xml:space="preserve"> :</w:t>
      </w:r>
    </w:p>
    <w:tbl>
      <w:tblPr>
        <w:tblStyle w:val="TableGrid"/>
        <w:tblW w:type="auto" w:w="0"/>
        <w:jc w:val="center"/>
        <w:tblLayout w:type="fixed"/>
        <w:tblLook w:firstColumn="1" w:firstRow="1" w:lastColumn="0" w:lastRow="0" w:noHBand="0" w:noVBand="1" w:val="04A0"/>
      </w:tblPr>
      <w:tblGrid>
        <w:gridCol w:w="1814"/>
        <w:gridCol w:w="2381"/>
        <w:gridCol w:w="3005"/>
        <w:gridCol w:w="2154"/>
      </w:tblGrid>
      <w:tr>
        <w:tc>
          <w:tcPr>
            <w:tcW w:type="dxa" w:w="1814"/>
            <w:shd w:val="clear" w:color="auto" w:fill="EEF1F4"/>
          </w:tcPr>
          <w:p>
            <w:pPr>
              <w:spacing w:after="20" w:before="0"/>
            </w:pPr>
            <w:r>
              <w:rPr>
                <w:rFonts w:ascii="Calibri" w:hAnsi="Calibri" w:eastAsia="Calibri"/>
                <w:b/>
                <w:sz w:val="18"/>
              </w:rPr>
              <w:t>Exercice clos le</w:t>
            </w:r>
          </w:p>
        </w:tc>
        <w:tc>
          <w:tcPr>
            <w:tcW w:type="dxa" w:w="2381"/>
            <w:shd w:val="clear" w:color="auto" w:fill="EEF1F4"/>
          </w:tcPr>
          <w:p>
            <w:pPr>
              <w:spacing w:after="20" w:before="0"/>
            </w:pPr>
            <w:r>
              <w:rPr>
                <w:rFonts w:ascii="Calibri" w:hAnsi="Calibri" w:eastAsia="Calibri"/>
                <w:b/>
                <w:sz w:val="18"/>
              </w:rPr>
              <w:t>Dividendes mis en distribution</w:t>
            </w:r>
          </w:p>
        </w:tc>
        <w:tc>
          <w:tcPr>
            <w:tcW w:type="dxa" w:w="3005"/>
            <w:shd w:val="clear" w:color="auto" w:fill="EEF1F4"/>
          </w:tcPr>
          <w:p>
            <w:pPr>
              <w:spacing w:after="20" w:before="0"/>
            </w:pPr>
            <w:r>
              <w:rPr>
                <w:rFonts w:ascii="Calibri" w:hAnsi="Calibri" w:eastAsia="Calibri"/>
                <w:b/>
                <w:sz w:val="18"/>
              </w:rPr>
              <w:t>Revenus éligibles à l’abattement de 40 % (CGI, art. 158, 3, 2°)</w:t>
            </w:r>
          </w:p>
        </w:tc>
        <w:tc>
          <w:tcPr>
            <w:tcW w:type="dxa" w:w="2154"/>
            <w:shd w:val="clear" w:color="auto" w:fill="EEF1F4"/>
          </w:tcPr>
          <w:p>
            <w:pPr>
              <w:spacing w:after="20" w:before="0"/>
            </w:pPr>
            <w:r>
              <w:rPr>
                <w:rFonts w:ascii="Calibri" w:hAnsi="Calibri" w:eastAsia="Calibri"/>
                <w:b/>
                <w:sz w:val="18"/>
              </w:rPr>
              <w:t>Revenus non éligibles</w:t>
            </w:r>
          </w:p>
        </w:tc>
      </w:tr>
      <w:tr>
        <w:tc>
          <w:tcPr>
            <w:tcW w:type="dxa" w:w="1814"/>
          </w:tcPr>
          <w:p>
            <w:pPr>
              <w:spacing w:after="20" w:before="0"/>
            </w:pPr>
            <w:r>
              <w:rPr>
                <w:rFonts w:ascii="Calibri" w:hAnsi="Calibri" w:eastAsia="Calibri"/>
                <w:sz w:val="18"/>
                <w:highlight w:val="yellow"/>
              </w:rPr>
              <w:t>[N-1]</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[N-2]</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[N-3]</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bl>
    <w:p>
      <w:pPr>
        <w:spacing w:after="40"/>
      </w:pPr>
    </w:p>
    <w:p>
      <w:pPr>
        <w:spacing w:after="160" w:before="0"/>
      </w:pPr>
      <w:r>
        <w:rPr>
          <w:rFonts w:ascii="Calibri" w:hAnsi="Calibri" w:eastAsia="Calibri"/>
          <w:sz w:val="19"/>
          <w:highlight w:val="yellow"/>
        </w:rPr>
        <w:t>[Si la société a plusieurs catégories de parts : un tableau par catégorie (CGI, art. 243 bis).]</w:t>
      </w:r>
    </w:p>
    <w:p>
      <w:pPr>
        <w:spacing w:after="80" w:before="0"/>
        <w:jc w:val="both"/>
      </w:pPr>
      <w:r>
        <w:rPr>
          <w:rFonts w:ascii="Calibri" w:hAnsi="Calibri" w:eastAsia="Calibri"/>
          <w:sz w:val="22"/>
          <w:highlight w:val="yellow"/>
        </w:rPr>
        <w:t>[Parts démembrées : l’usufruitier a voté la présente résolution ; le nu-propriétaire a voté les autres résolutions, sauf clause contraire des statuts ou, pour ces autres résolutions, convention attribuant le vote à l’usufruitier (C. civ., art. 1844).]</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rPr>
        <w:t>CINQUIÈME RÉSOLUTION — Conventions visées à l’article L. 223-19 du code de commerce</w:t>
      </w:r>
    </w:p>
    <w:p>
      <w:pPr>
        <w:spacing w:after="160" w:before="0"/>
        <w:jc w:val="both"/>
      </w:pPr>
      <w:r>
        <w:rPr>
          <w:rFonts w:ascii="Calibri" w:hAnsi="Calibri" w:eastAsia="Calibri"/>
          <w:sz w:val="22"/>
        </w:rPr>
        <w:t xml:space="preserve">L’assemblée, après avoir entendu la lecture du rapport </w:t>
      </w:r>
      <w:r>
        <w:rPr>
          <w:rFonts w:ascii="Calibri" w:hAnsi="Calibri" w:eastAsia="Calibri"/>
          <w:sz w:val="22"/>
          <w:highlight w:val="yellow"/>
        </w:rPr>
        <w:t>[de la gérance / du commissaire aux comptes]</w:t>
      </w:r>
      <w:r>
        <w:rPr>
          <w:rFonts w:ascii="Calibri" w:hAnsi="Calibri" w:eastAsia="Calibri"/>
          <w:sz w:val="22"/>
        </w:rPr>
        <w:t xml:space="preserve"> sur les conventions visées à l’article L. 223-19 du code de commerce, approuve la convention conclue avec </w:t>
      </w:r>
      <w:r>
        <w:rPr>
          <w:rFonts w:ascii="Calibri" w:hAnsi="Calibri" w:eastAsia="Calibri"/>
          <w:sz w:val="22"/>
          <w:highlight w:val="yellow"/>
        </w:rPr>
        <w:t>[Prénom NOM]</w:t>
      </w:r>
      <w:r>
        <w:rPr>
          <w:rFonts w:ascii="Calibri" w:hAnsi="Calibri" w:eastAsia="Calibri"/>
          <w:sz w:val="22"/>
        </w:rPr>
        <w:t xml:space="preserve"> ayant pour objet </w:t>
      </w:r>
      <w:r>
        <w:rPr>
          <w:rFonts w:ascii="Calibri" w:hAnsi="Calibri" w:eastAsia="Calibri"/>
          <w:sz w:val="22"/>
          <w:highlight w:val="yellow"/>
        </w:rPr>
        <w:t>[objet de la convention]</w:t>
      </w:r>
      <w:r>
        <w:rPr>
          <w:rFonts w:ascii="Calibri" w:hAnsi="Calibri" w:eastAsia="Calibri"/>
          <w:sz w:val="22"/>
        </w:rPr>
        <w:t>.</w:t>
      </w:r>
    </w:p>
    <w:p>
      <w:pPr>
        <w:spacing w:after="160" w:before="0"/>
        <w:jc w:val="both"/>
      </w:pP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[gérant(e) / associé(e)]</w:t>
      </w:r>
      <w:r>
        <w:rPr>
          <w:rFonts w:ascii="Calibri" w:hAnsi="Calibri" w:eastAsia="Calibri"/>
          <w:sz w:val="22"/>
        </w:rPr>
        <w:t xml:space="preserve"> intéressé(e), n’a pas pris part au vote ; ses </w:t>
      </w:r>
      <w:r>
        <w:rPr>
          <w:rFonts w:ascii="Calibri" w:hAnsi="Calibri" w:eastAsia="Calibri"/>
          <w:sz w:val="22"/>
          <w:highlight w:val="yellow"/>
        </w:rPr>
        <w:t>[nombre]</w:t>
      </w:r>
      <w:r>
        <w:rPr>
          <w:rFonts w:ascii="Calibri" w:hAnsi="Calibri" w:eastAsia="Calibri"/>
          <w:sz w:val="22"/>
        </w:rPr>
        <w:t xml:space="preserve"> parts n’ont pas été prises en compte pour le calcul de la majorité, qui s’apprécie donc sur </w:t>
      </w:r>
      <w:r>
        <w:rPr>
          <w:rFonts w:ascii="Calibri" w:hAnsi="Calibri" w:eastAsia="Calibri"/>
          <w:sz w:val="22"/>
          <w:highlight w:val="yellow"/>
        </w:rPr>
        <w:t>[nombre]</w:t>
      </w:r>
      <w:r>
        <w:rPr>
          <w:rFonts w:ascii="Calibri" w:hAnsi="Calibri" w:eastAsia="Calibri"/>
          <w:sz w:val="22"/>
        </w:rPr>
        <w:t xml:space="preserve"> parts, soit au moins </w:t>
      </w:r>
      <w:r>
        <w:rPr>
          <w:rFonts w:ascii="Calibri" w:hAnsi="Calibri" w:eastAsia="Calibri"/>
          <w:sz w:val="22"/>
          <w:highlight w:val="yellow"/>
        </w:rPr>
        <w:t>[nombre]</w:t>
      </w:r>
      <w:r>
        <w:rPr>
          <w:rFonts w:ascii="Calibri" w:hAnsi="Calibri" w:eastAsia="Calibri"/>
          <w:sz w:val="22"/>
        </w:rPr>
        <w:t xml:space="preserve"> parts.</w:t>
      </w:r>
    </w:p>
    <w:p>
      <w:pPr>
        <w:spacing w:after="160" w:before="0"/>
        <w:jc w:val="both"/>
      </w:pPr>
      <w:r>
        <w:rPr>
          <w:rFonts w:ascii="Calibri" w:hAnsi="Calibri" w:eastAsia="Calibri"/>
          <w:sz w:val="22"/>
          <w:highlight w:val="yellow"/>
        </w:rPr>
        <w:t>[Une résolution distincte par convention. Ou, en l’absence de convention : « L’assemblée prend acte qu’aucune convention visée à l’article L. 223-19 du code de commerce n’a été conclue ou poursuivie au cours de l’exercice. »]</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highlight w:val="yellow"/>
        </w:rPr>
        <w:t>[SIXIÈME RÉSOLUTION — Autre point de l’ordre du jour]</w:t>
      </w:r>
    </w:p>
    <w:p>
      <w:pPr>
        <w:spacing w:after="160" w:before="0"/>
        <w:jc w:val="both"/>
      </w:pPr>
      <w:r>
        <w:rPr>
          <w:rFonts w:ascii="Calibri" w:hAnsi="Calibri" w:eastAsia="Calibri"/>
          <w:sz w:val="22"/>
          <w:highlight w:val="yellow"/>
        </w:rPr>
        <w:t>[Texte de la résolution.]</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rPr>
        <w:t>SEPTIÈME RÉSOLUTION — Pouvoirs</w:t>
      </w:r>
    </w:p>
    <w:p>
      <w:pPr>
        <w:spacing w:after="160" w:before="0"/>
        <w:jc w:val="both"/>
      </w:pPr>
      <w:r>
        <w:rPr>
          <w:rFonts w:ascii="Calibri" w:hAnsi="Calibri" w:eastAsia="Calibri"/>
          <w:sz w:val="22"/>
        </w:rPr>
        <w:t>L’assemblée confère tous pouvoirs à la gérance ainsi qu’au porteur d’un original, d’une copie ou d’un extrait du présent procès-verbal pour effectuer le dépôt des comptes annuels et des documents qui doivent les accompagner, et pour accomplir toutes autres formalités de dépôt et de publicité.</w:t>
      </w:r>
    </w:p>
    <w:p>
      <w:pPr>
        <w:spacing w:after="40" w:before="0"/>
        <w:jc w:val="both"/>
      </w:pPr>
      <w:r>
        <w:rPr>
          <w:rFonts w:ascii="Calibri" w:hAnsi="Calibri" w:eastAsia="Calibri"/>
          <w:sz w:val="22"/>
        </w:rPr>
        <w:t xml:space="preserve">Résultat du vote : pour </w:t>
      </w:r>
      <w:r>
        <w:rPr>
          <w:rFonts w:ascii="Calibri" w:hAnsi="Calibri" w:eastAsia="Calibri"/>
          <w:sz w:val="22"/>
          <w:highlight w:val="yellow"/>
        </w:rPr>
        <w:t>[…]</w:t>
      </w:r>
      <w:r>
        <w:rPr>
          <w:rFonts w:ascii="Calibri" w:hAnsi="Calibri" w:eastAsia="Calibri"/>
          <w:sz w:val="22"/>
        </w:rPr>
        <w:t xml:space="preserve"> parts ; contre </w:t>
      </w:r>
      <w:r>
        <w:rPr>
          <w:rFonts w:ascii="Calibri" w:hAnsi="Calibri" w:eastAsia="Calibri"/>
          <w:sz w:val="22"/>
          <w:highlight w:val="yellow"/>
        </w:rPr>
        <w:t>[…]</w:t>
      </w:r>
      <w:r>
        <w:rPr>
          <w:rFonts w:ascii="Calibri" w:hAnsi="Calibri" w:eastAsia="Calibri"/>
          <w:sz w:val="22"/>
        </w:rPr>
        <w:t xml:space="preserve"> parts ; abstention </w:t>
      </w:r>
      <w:r>
        <w:rPr>
          <w:rFonts w:ascii="Calibri" w:hAnsi="Calibri" w:eastAsia="Calibri"/>
          <w:sz w:val="22"/>
          <w:highlight w:val="yellow"/>
        </w:rPr>
        <w:t>[…]</w:t>
      </w:r>
      <w:r>
        <w:rPr>
          <w:rFonts w:ascii="Calibri" w:hAnsi="Calibri" w:eastAsia="Calibri"/>
          <w:sz w:val="22"/>
        </w:rPr>
        <w:t xml:space="preserve"> parts.</w:t>
      </w:r>
    </w:p>
    <w:p>
      <w:pPr>
        <w:spacing w:after="240" w:before="0"/>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b/>
          <w:sz w:val="22"/>
        </w:rPr>
        <w:t>.</w:t>
      </w:r>
    </w:p>
    <w:p>
      <w:pPr>
        <w:spacing w:after="120" w:before="0"/>
      </w:pPr>
      <w:r>
        <w:rPr>
          <w:rFonts w:ascii="Calibri" w:hAnsi="Calibri" w:eastAsia="Calibri"/>
          <w:b/>
          <w:sz w:val="22"/>
          <w:highlight w:val="yellow"/>
        </w:rPr>
        <w:t>[Mention éventuelle — capitaux propres inférieurs à la moitié du capital social]</w:t>
      </w:r>
    </w:p>
    <w:p>
      <w:pPr>
        <w:spacing w:after="240" w:before="0"/>
        <w:jc w:val="both"/>
      </w:pPr>
      <w:r>
        <w:rPr>
          <w:rFonts w:ascii="Calibri" w:hAnsi="Calibri" w:eastAsia="Calibri"/>
          <w:sz w:val="22"/>
          <w:highlight w:val="yellow"/>
        </w:rPr>
        <w:t>[Le président de séance indique que, du fait des pertes constatées dans les comptes approuvés, les capitaux propres de la société sont devenus inférieurs à la moitié du capital social. Les associés devront décider, dans les quatre mois qui suivent la présente approbation, s’il y a lieu à dissolution anticipée de la société (C. com., art. L. 223-42) ; la gérance les consultera à cet effet le … .]</w:t>
      </w:r>
    </w:p>
    <w:p>
      <w:pPr>
        <w:spacing w:after="160" w:before="0"/>
        <w:jc w:val="both"/>
      </w:pPr>
      <w:r>
        <w:rPr>
          <w:rFonts w:ascii="Calibri" w:hAnsi="Calibri" w:eastAsia="Calibri"/>
          <w:sz w:val="22"/>
        </w:rPr>
        <w:t xml:space="preserve">L’ordre du jour étant épuisé, la séance est levée à </w:t>
      </w:r>
      <w:r>
        <w:rPr>
          <w:rFonts w:ascii="Calibri" w:hAnsi="Calibri" w:eastAsia="Calibri"/>
          <w:sz w:val="22"/>
          <w:highlight w:val="yellow"/>
        </w:rPr>
        <w:t>[heure]</w:t>
      </w:r>
      <w:r>
        <w:rPr>
          <w:rFonts w:ascii="Calibri" w:hAnsi="Calibri" w:eastAsia="Calibri"/>
          <w:sz w:val="22"/>
        </w:rPr>
        <w:t>.</w:t>
      </w:r>
    </w:p>
    <w:p>
      <w:pPr>
        <w:spacing w:after="200" w:before="0"/>
        <w:jc w:val="both"/>
      </w:pPr>
      <w:r>
        <w:rPr>
          <w:rFonts w:ascii="Calibri" w:hAnsi="Calibri" w:eastAsia="Calibri"/>
          <w:sz w:val="22"/>
        </w:rPr>
        <w:t xml:space="preserve">De tout ce que dessus, il a été dressé le présent procès-verbal, établi et signé par </w:t>
      </w:r>
      <w:r>
        <w:rPr>
          <w:rFonts w:ascii="Calibri" w:hAnsi="Calibri" w:eastAsia="Calibri"/>
          <w:sz w:val="22"/>
          <w:highlight w:val="yellow"/>
        </w:rPr>
        <w:t>[le gérant / les gérants]</w:t>
      </w:r>
      <w:r>
        <w:rPr>
          <w:rFonts w:ascii="Calibri" w:hAnsi="Calibri" w:eastAsia="Calibri"/>
          <w:sz w:val="22"/>
        </w:rPr>
        <w:t xml:space="preserve"> et par le président de séance, et retranscrit sur le registre des procès-verbaux des assemblées.</w:t>
      </w:r>
    </w:p>
    <w:p>
      <w:pPr>
        <w:spacing w:after="240" w:before="0"/>
        <w:jc w:val="both"/>
      </w:pPr>
      <w:r>
        <w:rPr>
          <w:rFonts w:ascii="Calibri" w:hAnsi="Calibri" w:eastAsia="Calibri"/>
          <w:b/>
          <w:sz w:val="22"/>
        </w:rPr>
        <w:t xml:space="preserve">Annexes : </w:t>
      </w:r>
      <w:r>
        <w:rPr>
          <w:rFonts w:ascii="Calibri" w:hAnsi="Calibri" w:eastAsia="Calibri"/>
          <w:sz w:val="22"/>
          <w:highlight w:val="yellow"/>
        </w:rPr>
        <w:t>[pouvoirs ; formulaires de vote par correspondance ; questions écrites et réponses ; rapport sur les conventions]</w:t>
      </w:r>
    </w:p>
    <w:tbl>
      <w:tblPr>
        <w:tblStyle w:val="TableGrid"/>
        <w:tblW w:type="auto" w:w="0"/>
        <w:jc w:val="center"/>
        <w:tblLayout w:type="fixed"/>
        <w:tblLook w:firstColumn="1" w:firstRow="1" w:lastColumn="0" w:lastRow="0" w:noHBand="0" w:noVBand="1" w:val="04A0"/>
      </w:tblPr>
      <w:tblGrid>
        <w:gridCol w:w="4677"/>
        <w:gridCol w:w="4677"/>
      </w:tblGrid>
      <w:tr>
        <w:tc>
          <w:tcPr>
            <w:tcW w:type="dxa" w:w="4677"/>
            <w:shd w:val="clear" w:color="auto" w:fill="EEF1F4"/>
          </w:tcPr>
          <w:p>
            <w:pPr>
              <w:spacing w:after="20" w:before="0"/>
            </w:pPr>
            <w:r>
              <w:rPr>
                <w:rFonts w:ascii="Calibri" w:hAnsi="Calibri" w:eastAsia="Calibri"/>
                <w:b/>
                <w:sz w:val="19"/>
              </w:rPr>
              <w:t>Le(s) gérant(s)</w:t>
            </w:r>
          </w:p>
        </w:tc>
        <w:tc>
          <w:tcPr>
            <w:tcW w:type="dxa" w:w="4677"/>
            <w:shd w:val="clear" w:color="auto" w:fill="EEF1F4"/>
          </w:tcPr>
          <w:p>
            <w:pPr>
              <w:spacing w:after="20" w:before="0"/>
            </w:pPr>
            <w:r>
              <w:rPr>
                <w:rFonts w:ascii="Calibri" w:hAnsi="Calibri" w:eastAsia="Calibri"/>
                <w:b/>
                <w:sz w:val="19"/>
              </w:rPr>
              <w:t>Le président de séance (s’il n’est pas gérant)</w:t>
            </w:r>
          </w:p>
        </w:tc>
      </w:tr>
      <w:tr>
        <w:tc>
          <w:tcPr>
            <w:tcW w:type="dxa" w:w="4677"/>
          </w:tcPr>
          <w:p>
            <w:pPr>
              <w:spacing w:after="20" w:before="0"/>
            </w:pPr>
            <w:r>
              <w:rPr>
                <w:rFonts w:ascii="Calibri" w:hAnsi="Calibri" w:eastAsia="Calibri"/>
                <w:sz w:val="19"/>
              </w:rPr>
              <w:br/>
              <w:br/>
              <w:br/>
            </w:r>
            <w:r>
              <w:rPr>
                <w:rFonts w:ascii="Calibri" w:hAnsi="Calibri" w:eastAsia="Calibri"/>
                <w:sz w:val="19"/>
                <w:highlight w:val="yellow"/>
              </w:rPr>
              <w:t>[Prénom NOM — gérant — signature]</w:t>
            </w:r>
            <w:r>
              <w:rPr>
                <w:rFonts w:ascii="Calibri" w:hAnsi="Calibri" w:eastAsia="Calibri"/>
                <w:sz w:val="19"/>
              </w:rPr>
              <w:br/>
              <w:br/>
              <w:br/>
            </w:r>
            <w:r>
              <w:rPr>
                <w:rFonts w:ascii="Calibri" w:hAnsi="Calibri" w:eastAsia="Calibri"/>
                <w:sz w:val="19"/>
                <w:highlight w:val="yellow"/>
              </w:rPr>
              <w:t>[Prénom NOM — gérant — signature : une ligne par gérant, à répéter]</w:t>
            </w:r>
          </w:p>
        </w:tc>
        <w:tc>
          <w:tcPr>
            <w:tcW w:type="dxa" w:w="4677"/>
          </w:tcPr>
          <w:p>
            <w:pPr>
              <w:spacing w:after="20" w:before="0"/>
            </w:pPr>
            <w:r>
              <w:rPr>
                <w:rFonts w:ascii="Calibri" w:hAnsi="Calibri" w:eastAsia="Calibri"/>
                <w:sz w:val="19"/>
              </w:rPr>
              <w:br/>
              <w:br/>
              <w:br/>
            </w:r>
            <w:r>
              <w:rPr>
                <w:rFonts w:ascii="Calibri" w:hAnsi="Calibri" w:eastAsia="Calibri"/>
                <w:sz w:val="19"/>
                <w:highlight w:val="yellow"/>
              </w:rPr>
              <w:t>[Prénom NOM — signature]</w:t>
            </w:r>
          </w:p>
        </w:tc>
      </w:tr>
    </w:tbl>
    <w:p>
      <w:pPr>
        <w:spacing w:after="12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Majorité : les décisions ordinaires sont adoptées par un ou plusieurs associés représentant plus de la moitié de toutes les parts sociales, et non des seules parts présentes ; il n’existe pas de quorum légal pour ces décisions. Si cette majorité n’est pas atteinte, et sauf stipulation contraire des statuts, les associés sont convoqués ou consultés une seconde fois et la décision est prise à la majorité des votes émis (C. com., art. L. 223-29). Il est utile que le procès-verbal de la seconde assemblée rappelle que la majorité n’a pas été atteinte lors de la première.</w:t>
      </w:r>
    </w:p>
    <w:p>
      <w:pPr>
        <w:spacing w:after="100" w:before="0"/>
        <w:jc w:val="both"/>
      </w:pPr>
      <w:r>
        <w:rPr>
          <w:rFonts w:ascii="Calibri" w:hAnsi="Calibri" w:eastAsia="Calibri"/>
          <w:color w:val="374151"/>
          <w:sz w:val="20"/>
        </w:rPr>
        <w:t>• Contenu obligatoire : date et lieu de réunion ; nom, prénoms et qualité du président ; nom et prénoms des associés présents, réputés présents ou représentés, avec le nombre de parts de chacun ; documents et rapports soumis à l’assemblée ; résumé des débats ; texte des résolutions mises aux voix et résultat des votes ; incident technique de visioconférence ayant perturbé l’assemblée (art. R. 223-24). Le procès-verbal est établi et signé par les gérants et, le cas échéant, par le président de séance.</w:t>
      </w:r>
    </w:p>
    <w:p>
      <w:pPr>
        <w:spacing w:after="100" w:before="0"/>
        <w:jc w:val="both"/>
      </w:pPr>
      <w:r>
        <w:rPr>
          <w:rFonts w:ascii="Calibri" w:hAnsi="Calibri" w:eastAsia="Calibri"/>
          <w:color w:val="374151"/>
          <w:sz w:val="20"/>
        </w:rPr>
        <w:t>• Registre : les procès-verbaux sont établis sur un registre spécial tenu au siège social, coté et paraphé (ou sur des feuilles mobiles numérotées et paraphées), ou sous forme électronique avec une signature électronique avancée et un horodatage ; les copies et extraits sont certifiés conformes par un seul gérant (art. R. 221-3 et R. 221-4, applicables par renvoi de l’art. R. 223-24).</w:t>
      </w:r>
    </w:p>
    <w:p>
      <w:pPr>
        <w:spacing w:after="100" w:before="0"/>
        <w:jc w:val="both"/>
      </w:pPr>
      <w:r>
        <w:rPr>
          <w:rFonts w:ascii="Calibri" w:hAnsi="Calibri" w:eastAsia="Calibri"/>
          <w:color w:val="374151"/>
          <w:sz w:val="20"/>
        </w:rPr>
        <w:t>• Délai : les comptes doivent être approuvés dans les six mois de la clôture, sauf prolongation par décision de justice (art. L. 223-26). Les associés qui participent par visioconférence ne sont pas réputés présents pour le calcul de la majorité lorsque l’assemblée délibère sur les comptes annuels (art. L. 223-27).</w:t>
      </w:r>
    </w:p>
    <w:p>
      <w:pPr>
        <w:spacing w:after="100" w:before="0"/>
        <w:jc w:val="both"/>
      </w:pPr>
      <w:r>
        <w:rPr>
          <w:rFonts w:ascii="Calibri" w:hAnsi="Calibri" w:eastAsia="Calibri"/>
          <w:color w:val="374151"/>
          <w:sz w:val="20"/>
        </w:rPr>
        <w:t>• Conventions : le gérant ou l’associé intéressé ne prend pas part au vote et ses parts ne sont prises en compte ni pour le quorum ni pour la majorité ; les conventions non approuvées produisent néanmoins leurs effets, le gérant et, s’il y a lieu, l’associé contractant en supportant les conséquences préjudiciables pour la société (art. L. 223-19). Les opérations courantes conclues à des conditions normales ne relèvent pas de cette procédure (art. L. 223-20).</w:t>
      </w:r>
    </w:p>
    <w:p>
      <w:pPr>
        <w:spacing w:after="100" w:before="0"/>
        <w:jc w:val="both"/>
      </w:pPr>
      <w:r>
        <w:rPr>
          <w:rFonts w:ascii="Calibri" w:hAnsi="Calibri" w:eastAsia="Calibri"/>
          <w:color w:val="374151"/>
          <w:sz w:val="20"/>
        </w:rPr>
        <w:t>• Quitus : il n’a qu’une portée limitée, car aucune décision de l’assemblée ne peut avoir pour effet d’éteindre une action en responsabilité contre les gérants pour faute commise dans l’accomplissement de leur mandat (art. L. 223-22).</w:t>
      </w:r>
    </w:p>
    <w:p>
      <w:pPr>
        <w:spacing w:after="100" w:before="0"/>
        <w:jc w:val="both"/>
      </w:pPr>
      <w:r>
        <w:rPr>
          <w:rFonts w:ascii="Calibri" w:hAnsi="Calibri" w:eastAsia="Calibri"/>
          <w:color w:val="374151"/>
          <w:sz w:val="20"/>
        </w:rPr>
        <w:t>• Affectation : un vingtième au moins du bénéfice, diminué le cas échéant des pertes antérieures, est affecté à la réserve légale jusqu’à ce qu’elle atteigne le dixième du capital (art. L. 232-10). Aucune distribution n’est possible si les capitaux propres sont ou deviendraient inférieurs au capital augmenté des réserves non distribuables ; une distribution prélevée sur les réserves doit indiquer expressément les postes concernés (art. L. 232-11). Un dividende distribué en violation de ces règles est fictif (art. L. 232-12). Les dividendes sont mis en paiement dans un délai maximal de neuf mois après la clôture, sauf prolongation par décision de justice (art. L. 232-13).</w:t>
      </w:r>
    </w:p>
    <w:p>
      <w:pPr>
        <w:spacing w:after="100" w:before="0"/>
        <w:jc w:val="both"/>
      </w:pPr>
      <w:r>
        <w:rPr>
          <w:rFonts w:ascii="Calibri" w:hAnsi="Calibri" w:eastAsia="Calibri"/>
          <w:color w:val="374151"/>
          <w:sz w:val="20"/>
        </w:rPr>
        <w:t>• Parts démembrées ou indivises : le nu-propriétaire et l’usufruitier ont tous deux le droit de participer aux décisions collectives ; le vote sur l’affectation des bénéfices appartient à l’usufruitier et les autres votes au nu-propriétaire, sauf clause contraire des statuts ou, pour les autres décisions, convention attribuant le vote à l’usufruitier. Les parts indivises sont représentées par un mandataire unique, sauf clause contraire des statuts (C. civ., art. 1844). Indiquez ces qualités dans le tableau de présence pour que le décompte des voix de chaque résolution puisse être reconstitué.</w:t>
      </w:r>
    </w:p>
    <w:p>
      <w:pPr>
        <w:spacing w:after="100" w:before="0"/>
        <w:jc w:val="both"/>
      </w:pPr>
      <w:r>
        <w:rPr>
          <w:rFonts w:ascii="Calibri" w:hAnsi="Calibri" w:eastAsia="Calibri"/>
          <w:color w:val="374151"/>
          <w:sz w:val="20"/>
        </w:rPr>
        <w:t>• Fiscalité : les propositions de résolution sur l’affectation du résultat mentionnent les dividendes mis en distribution au titre des trois exercices précédents, ventilés selon leur éligibilité à l’abattement de 40 % (CGI, art. 243 bis). Les sociétés soumises à l’impôt sur les sociétés font approuver chaque année le montant global des dépenses visées à l’article 39, 4 du CGI et l’impôt correspondant (CGI, art. 223 quater). Le régime fiscal et social des dividendes perçus par les associés relève de leur situation personnelle : interrogez votre comptable.</w:t>
      </w:r>
    </w:p>
    <w:p>
      <w:pPr>
        <w:spacing w:after="100" w:before="0"/>
        <w:jc w:val="both"/>
      </w:pPr>
      <w:r>
        <w:rPr>
          <w:rFonts w:ascii="Calibri" w:hAnsi="Calibri" w:eastAsia="Calibri"/>
          <w:color w:val="374151"/>
          <w:sz w:val="20"/>
        </w:rPr>
        <w:t>• Capitaux propres : si, du fait des pertes, ils deviennent inférieurs à la moitié du capital social, les associés décident, dans les quatre mois qui suivent l’approbation des comptes, s’il y a lieu à dissolution anticipée ; la résolution est publiée (art. L. 223-42). Faites-vous accompagner pour cette procédure.</w:t>
      </w:r>
    </w:p>
    <w:p>
      <w:pPr>
        <w:spacing w:after="100" w:before="0"/>
        <w:jc w:val="both"/>
      </w:pPr>
      <w:r>
        <w:rPr>
          <w:rFonts w:ascii="Calibri" w:hAnsi="Calibri" w:eastAsia="Calibri"/>
          <w:color w:val="374151"/>
          <w:sz w:val="20"/>
        </w:rPr>
        <w:t>• Dépôt : les comptes annuels, la proposition et la résolution d’affectation du résultat (et, le cas échéant, le rapport du commissaire aux comptes) sont déposés au greffe dans le mois de l’approbation, ou dans les deux mois en cas de dépôt par voie électronique ; en cas de refus d’approbation, une copie de la délibération est déposée dans le même délai (art. L. 232-22). Pour une société dont le siège est dans le Bas-Rhin, le Haut-Rhin ou la Moselle, le dépôt sur place ou par courrier se fait au greffe du tribunal judiciaire du siège. Lors du dépôt, une micro-entreprise peut déclarer que ses comptes annuels ne seront pas rendus publics ; une petite entreprise qui n’appartient pas à un groupe peut seulement demander que son compte de résultat ne soit pas rendu public (art. L. 232-25, qui exclut notamment les sociétés mentionnées à l’article L. 123-16-2 et, pour la première faculté, les sociétés dont l’activité consiste à gérer des titres de participations et de valeurs mobilières).</w:t>
      </w:r>
    </w:p>
    <w:p>
      <w:pPr>
        <w:spacing w:after="100" w:before="0"/>
        <w:jc w:val="both"/>
      </w:pPr>
      <w:r>
        <w:rPr>
          <w:rFonts w:ascii="Calibri" w:hAnsi="Calibri" w:eastAsia="Calibri"/>
          <w:color w:val="374151"/>
          <w:sz w:val="20"/>
        </w:rPr>
        <w:t>• EURL : l’associé unique statue seul et ses décisions sont répertoriées dans un registre (art. L. 223-31) ; utilisez le modèle de décisions de l’associé unique publié sur la même page.</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d’assemblée générale ordinaire annuelle de SARL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