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r>
        <w:rPr>
          <w:rFonts w:ascii="Calibri" w:hAnsi="Calibri" w:eastAsia="Calibri"/>
          <w:b/>
          <w:sz w:val="24"/>
        </w:rPr>
        <w:t xml:space="preserve"> — SOCIÉTÉ EN LIQUIDATION</w:t>
      </w:r>
    </w:p>
    <w:p>
      <w:pPr>
        <w:spacing w:after="40" w:before="0"/>
        <w:jc w:val="center"/>
      </w:pPr>
      <w:r>
        <w:rPr>
          <w:rFonts w:ascii="Calibri" w:hAnsi="Calibri" w:eastAsia="Calibri"/>
          <w:sz w:val="22"/>
          <w:highlight w:val="yellow"/>
        </w:rPr>
        <w:t>[Société à responsabilité limitée / Société par actions simplifiée]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40" w:before="0"/>
        <w:jc w:val="center"/>
      </w:pPr>
      <w:r>
        <w:rPr>
          <w:rFonts w:ascii="Calibri" w:hAnsi="Calibri" w:eastAsia="Calibri"/>
          <w:sz w:val="22"/>
        </w:rPr>
        <w:t xml:space="preserve">Siège de la liquidation : </w:t>
      </w:r>
      <w:r>
        <w:rPr>
          <w:rFonts w:ascii="Calibri" w:hAnsi="Calibri" w:eastAsia="Calibri"/>
          <w:sz w:val="22"/>
          <w:highlight w:val="yellow"/>
        </w:rPr>
        <w:t>[adresse de la liquidation]</w:t>
      </w:r>
    </w:p>
    <w:p>
      <w:pPr>
        <w:spacing w:after="40" w:before="0"/>
        <w:jc w:val="center"/>
      </w:pPr>
      <w:r>
        <w:rPr>
          <w:rFonts w:ascii="Calibri" w:hAnsi="Calibri" w:eastAsia="Calibri"/>
          <w:sz w:val="22"/>
        </w:rPr>
        <w:t xml:space="preserve">Liquidateur : </w:t>
      </w:r>
      <w:r>
        <w:rPr>
          <w:rFonts w:ascii="Calibri" w:hAnsi="Calibri" w:eastAsia="Calibri"/>
          <w:sz w:val="22"/>
          <w:highlight w:val="yellow"/>
        </w:rPr>
        <w:t>[Prénom NOM]</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PROCÈS-VERBAL DE L’ASSEMBLÉE GÉNÉRALE DE CLÔTURE DE LA LIQUIDATION</w:t>
      </w:r>
    </w:p>
    <w:p>
      <w:pPr>
        <w:spacing w:after="40" w:before="0"/>
        <w:jc w:val="center"/>
      </w:pPr>
      <w:r>
        <w:rPr>
          <w:rFonts w:ascii="Calibri" w:hAnsi="Calibri" w:eastAsia="Calibri"/>
          <w:b/>
          <w:sz w:val="22"/>
        </w:rPr>
        <w:t xml:space="preserve">du </w:t>
      </w:r>
      <w:r>
        <w:rPr>
          <w:rFonts w:ascii="Calibri" w:hAnsi="Calibri" w:eastAsia="Calibri"/>
          <w:b/>
          <w:sz w:val="22"/>
          <w:highlight w:val="yellow"/>
        </w:rPr>
        <w:t>[date]</w:t>
      </w:r>
    </w:p>
    <w:p>
      <w:pPr>
        <w:spacing w:after="320" w:before="0"/>
        <w:jc w:val="center"/>
      </w:pPr>
      <w:r>
        <w:rPr>
          <w:rFonts w:ascii="Calibri" w:hAnsi="Calibri" w:eastAsia="Calibri"/>
          <w:b/>
          <w:sz w:val="22"/>
        </w:rPr>
        <w:t>Comptes définitifs — Quitus au liquidateur — Clôture</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xml:space="preserve">, à </w:t>
      </w:r>
      <w:r>
        <w:rPr>
          <w:rFonts w:ascii="Calibri" w:hAnsi="Calibri" w:eastAsia="Calibri"/>
          <w:sz w:val="22"/>
          <w:highlight w:val="yellow"/>
        </w:rPr>
        <w:t>[heure]</w:t>
      </w:r>
      <w:r>
        <w:rPr>
          <w:rFonts w:ascii="Calibri" w:hAnsi="Calibri" w:eastAsia="Calibri"/>
          <w:sz w:val="22"/>
        </w:rPr>
        <w:t xml:space="preserve">, les associés de la société </w:t>
      </w:r>
      <w:r>
        <w:rPr>
          <w:rFonts w:ascii="Calibri" w:hAnsi="Calibri" w:eastAsia="Calibri"/>
          <w:sz w:val="22"/>
          <w:highlight w:val="yellow"/>
        </w:rPr>
        <w:t>[dénomination]</w:t>
      </w:r>
      <w:r>
        <w:rPr>
          <w:rFonts w:ascii="Calibri" w:hAnsi="Calibri" w:eastAsia="Calibri"/>
          <w:sz w:val="22"/>
        </w:rPr>
        <w:t xml:space="preserve">, société en liquidation, se sont réunis en assemblée générale </w:t>
      </w:r>
      <w:r>
        <w:rPr>
          <w:rFonts w:ascii="Calibri" w:hAnsi="Calibri" w:eastAsia="Calibri"/>
          <w:sz w:val="22"/>
          <w:highlight w:val="yellow"/>
        </w:rPr>
        <w:t>[au siège de la liquidation / à …]</w:t>
      </w:r>
      <w:r>
        <w:rPr>
          <w:rFonts w:ascii="Calibri" w:hAnsi="Calibri" w:eastAsia="Calibri"/>
          <w:sz w:val="22"/>
        </w:rPr>
        <w:t xml:space="preserve">, sur convocation du liquidateur </w:t>
      </w:r>
      <w:r>
        <w:rPr>
          <w:rFonts w:ascii="Calibri" w:hAnsi="Calibri" w:eastAsia="Calibri"/>
          <w:sz w:val="22"/>
          <w:highlight w:val="yellow"/>
        </w:rPr>
        <w:t>[SARL : par lettre recommandée — ou par voie électronique pour les associés qui l’ont accepté — du …, soit quinze jours au moins avant la réunion (C. com., art. R. 223-20) / SAS : selon les modalités prévues à l’article … des statuts]</w:t>
      </w:r>
      <w:r>
        <w:rPr>
          <w:rFonts w:ascii="Calibri" w:hAnsi="Calibri" w:eastAsia="Calibri"/>
          <w:sz w:val="22"/>
        </w:rPr>
        <w:t>.</w:t>
      </w:r>
    </w:p>
    <w:p>
      <w:pPr>
        <w:spacing w:after="80" w:before="0"/>
        <w:jc w:val="both"/>
      </w:pPr>
      <w:r>
        <w:rPr>
          <w:rFonts w:ascii="Calibri" w:hAnsi="Calibri" w:eastAsia="Calibri"/>
          <w:sz w:val="22"/>
        </w:rPr>
        <w:t>Sont présents ou représentés :</w:t>
      </w:r>
    </w:p>
    <w:p>
      <w:pPr>
        <w:spacing w:after="40" w:before="0"/>
        <w:jc w:val="both"/>
      </w:pPr>
      <w:r>
        <w:rPr>
          <w:rFonts w:ascii="Calibri" w:hAnsi="Calibri" w:eastAsia="Calibri"/>
          <w:sz w:val="22"/>
        </w:rPr>
        <w:t xml:space="preserve">– </w:t>
      </w:r>
      <w:r>
        <w:rPr>
          <w:rFonts w:ascii="Calibri" w:hAnsi="Calibri" w:eastAsia="Calibri"/>
          <w:sz w:val="22"/>
          <w:highlight w:val="yellow"/>
        </w:rPr>
        <w:t>[Prénom NOM / dénomination de l’associé]</w:t>
      </w:r>
      <w:r>
        <w:rPr>
          <w:rFonts w:ascii="Calibri" w:hAnsi="Calibri" w:eastAsia="Calibri"/>
          <w:sz w:val="22"/>
        </w:rPr>
        <w:t xml:space="preserve"> —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w:t>
      </w:r>
      <w:r>
        <w:rPr>
          <w:rFonts w:ascii="Calibri" w:hAnsi="Calibri" w:eastAsia="Calibri"/>
          <w:sz w:val="22"/>
          <w:highlight w:val="yellow"/>
        </w:rPr>
        <w:t>[présent / représenté par … en vertu d’un pouvoir annexé / réputé présent par visioconférence / a voté par correspondance — formulaire annexé (si les statuts admettent ce vote)]</w:t>
      </w:r>
    </w:p>
    <w:p>
      <w:pPr>
        <w:spacing w:after="120" w:before="0"/>
        <w:jc w:val="both"/>
      </w:pPr>
      <w:r>
        <w:rPr>
          <w:rFonts w:ascii="Calibri" w:hAnsi="Calibri" w:eastAsia="Calibri"/>
          <w:sz w:val="22"/>
        </w:rPr>
        <w:t xml:space="preserve">– </w:t>
      </w:r>
      <w:r>
        <w:rPr>
          <w:rFonts w:ascii="Calibri" w:hAnsi="Calibri" w:eastAsia="Calibri"/>
          <w:sz w:val="22"/>
          <w:highlight w:val="yellow"/>
        </w:rPr>
        <w:t>[Prénom NOM / dénomination de l’associé]</w:t>
      </w:r>
      <w:r>
        <w:rPr>
          <w:rFonts w:ascii="Calibri" w:hAnsi="Calibri" w:eastAsia="Calibri"/>
          <w:sz w:val="22"/>
        </w:rPr>
        <w:t xml:space="preserve"> —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w:t>
      </w:r>
      <w:r>
        <w:rPr>
          <w:rFonts w:ascii="Calibri" w:hAnsi="Calibri" w:eastAsia="Calibri"/>
          <w:sz w:val="22"/>
          <w:highlight w:val="yellow"/>
        </w:rPr>
        <w:t>[présent / représenté par …]</w:t>
      </w:r>
    </w:p>
    <w:p>
      <w:pPr>
        <w:spacing w:after="160" w:before="0"/>
        <w:jc w:val="both"/>
      </w:pPr>
      <w:r>
        <w:rPr>
          <w:rFonts w:ascii="Calibri" w:hAnsi="Calibri" w:eastAsia="Calibri"/>
          <w:sz w:val="22"/>
        </w:rPr>
        <w:t xml:space="preserve">Soit, au total,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présentes ou représentées sur les </w:t>
      </w:r>
      <w:r>
        <w:rPr>
          <w:rFonts w:ascii="Calibri" w:hAnsi="Calibri" w:eastAsia="Calibri"/>
          <w:sz w:val="22"/>
          <w:highlight w:val="yellow"/>
        </w:rPr>
        <w:t>[nombre]</w:t>
      </w:r>
      <w:r>
        <w:rPr>
          <w:rFonts w:ascii="Calibri" w:hAnsi="Calibri" w:eastAsia="Calibri"/>
          <w:sz w:val="22"/>
        </w:rPr>
        <w:t xml:space="preserve"> composant le capital social </w:t>
      </w:r>
      <w:r>
        <w:rPr>
          <w:rFonts w:ascii="Calibri" w:hAnsi="Calibri" w:eastAsia="Calibri"/>
          <w:sz w:val="22"/>
          <w:highlight w:val="yellow"/>
        </w:rPr>
        <w:t>[le cas échéant : dont … ayant fait l’objet d’un vote par correspondance]</w:t>
      </w:r>
      <w:r>
        <w:rPr>
          <w:rFonts w:ascii="Calibri" w:hAnsi="Calibri" w:eastAsia="Calibri"/>
          <w:sz w:val="22"/>
        </w:rPr>
        <w:t>.</w:t>
      </w:r>
    </w:p>
    <w:p>
      <w:pPr>
        <w:spacing w:after="160" w:before="0"/>
        <w:jc w:val="both"/>
      </w:pPr>
      <w:r>
        <w:rPr>
          <w:rFonts w:ascii="Calibri" w:hAnsi="Calibri" w:eastAsia="Calibri"/>
          <w:sz w:val="22"/>
          <w:highlight w:val="yellow"/>
        </w:rPr>
        <w:t>[Le cas échéant :]</w:t>
      </w:r>
      <w:r>
        <w:rPr>
          <w:rFonts w:ascii="Calibri" w:hAnsi="Calibri" w:eastAsia="Calibri"/>
          <w:sz w:val="22"/>
        </w:rPr>
        <w:t xml:space="preserve"> </w:t>
      </w:r>
      <w:r>
        <w:rPr>
          <w:rFonts w:ascii="Calibri" w:hAnsi="Calibri" w:eastAsia="Calibri"/>
          <w:sz w:val="22"/>
          <w:highlight w:val="yellow"/>
        </w:rPr>
        <w:t>[Prénom NOM / cabinet]</w:t>
      </w:r>
      <w:r>
        <w:rPr>
          <w:rFonts w:ascii="Calibri" w:hAnsi="Calibri" w:eastAsia="Calibri"/>
          <w:sz w:val="22"/>
        </w:rPr>
        <w:t xml:space="preserve">, commissaire aux comptes, régulièrement convoqué, est </w:t>
      </w:r>
      <w:r>
        <w:rPr>
          <w:rFonts w:ascii="Calibri" w:hAnsi="Calibri" w:eastAsia="Calibri"/>
          <w:sz w:val="22"/>
          <w:highlight w:val="yellow"/>
        </w:rPr>
        <w:t>[présent / absent et excusé]</w:t>
      </w:r>
      <w:r>
        <w:rPr>
          <w:rFonts w:ascii="Calibri" w:hAnsi="Calibri" w:eastAsia="Calibri"/>
          <w:sz w:val="22"/>
        </w:rPr>
        <w:t>.</w:t>
      </w:r>
    </w:p>
    <w:p>
      <w:pPr>
        <w:spacing w:after="160" w:before="0"/>
        <w:jc w:val="both"/>
      </w:pPr>
      <w:r>
        <w:rPr>
          <w:rFonts w:ascii="Calibri" w:hAnsi="Calibri" w:eastAsia="Calibri"/>
          <w:sz w:val="22"/>
        </w:rPr>
        <w:t xml:space="preserve">L’assemblée est présidée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[liquidateur / associé]</w:t>
      </w:r>
      <w:r>
        <w:rPr>
          <w:rFonts w:ascii="Calibri" w:hAnsi="Calibri" w:eastAsia="Calibri"/>
          <w:sz w:val="22"/>
        </w:rPr>
        <w:t xml:space="preserve">. </w:t>
      </w:r>
      <w:r>
        <w:rPr>
          <w:rFonts w:ascii="Calibri" w:hAnsi="Calibri" w:eastAsia="Calibri"/>
          <w:sz w:val="22"/>
          <w:highlight w:val="yellow"/>
        </w:rPr>
        <w:t>[Prénom NOM]</w:t>
      </w:r>
      <w:r>
        <w:rPr>
          <w:rFonts w:ascii="Calibri" w:hAnsi="Calibri" w:eastAsia="Calibri"/>
          <w:sz w:val="22"/>
        </w:rPr>
        <w:t xml:space="preserve"> est désigné(e) en qualité de secrétaire de séance. Le président de séance constate que l’assemblée peut valablement délibérer.</w:t>
      </w:r>
    </w:p>
    <w:p>
      <w:pPr>
        <w:spacing w:after="160" w:before="0"/>
        <w:jc w:val="both"/>
      </w:pPr>
      <w:r>
        <w:rPr>
          <w:rFonts w:ascii="Calibri" w:hAnsi="Calibri" w:eastAsia="Calibri"/>
          <w:sz w:val="22"/>
          <w:highlight w:val="yellow"/>
        </w:rPr>
        <w:t>[Si des associés participent par visioconférence ou par un moyen de télécommunication :]</w:t>
      </w:r>
      <w:r>
        <w:rPr>
          <w:rFonts w:ascii="Calibri" w:hAnsi="Calibri" w:eastAsia="Calibri"/>
          <w:sz w:val="22"/>
        </w:rPr>
        <w:t xml:space="preserve"> </w:t>
      </w:r>
      <w:r>
        <w:rPr>
          <w:rFonts w:ascii="Calibri" w:hAnsi="Calibri" w:eastAsia="Calibri"/>
          <w:sz w:val="22"/>
          <w:highlight w:val="yellow"/>
        </w:rPr>
        <w:t>[aucun incident technique relatif à la visioconférence ou à la télécommunication n’a perturbé le déroulement de l’assemblée / incident survenu et ses effets sur le déroulement de l’assemblée : …]</w:t>
      </w:r>
      <w:r>
        <w:rPr>
          <w:rFonts w:ascii="Calibri" w:hAnsi="Calibri" w:eastAsia="Calibri"/>
          <w:sz w:val="22"/>
        </w:rPr>
        <w:t xml:space="preserve"> (C. com., art. R. 223-24).</w:t>
      </w:r>
    </w:p>
    <w:p>
      <w:pPr>
        <w:spacing w:after="80" w:before="0"/>
        <w:jc w:val="both"/>
      </w:pPr>
      <w:r>
        <w:rPr>
          <w:rFonts w:ascii="Calibri" w:hAnsi="Calibri" w:eastAsia="Calibri"/>
          <w:sz w:val="22"/>
        </w:rPr>
        <w:t>Sont mis à la disposition des associés :</w:t>
      </w:r>
    </w:p>
    <w:p>
      <w:pPr>
        <w:spacing w:after="40" w:before="0"/>
        <w:jc w:val="both"/>
      </w:pPr>
      <w:r>
        <w:rPr>
          <w:rFonts w:ascii="Calibri" w:hAnsi="Calibri" w:eastAsia="Calibri"/>
          <w:sz w:val="22"/>
        </w:rPr>
        <w:t xml:space="preserve">– </w:t>
      </w:r>
      <w:r>
        <w:rPr>
          <w:rFonts w:ascii="Calibri" w:hAnsi="Calibri" w:eastAsia="Calibri"/>
          <w:sz w:val="22"/>
        </w:rPr>
        <w:t xml:space="preserve">les comptes définitifs de liquidation arrêtés au </w:t>
      </w:r>
      <w:r>
        <w:rPr>
          <w:rFonts w:ascii="Calibri" w:hAnsi="Calibri" w:eastAsia="Calibri"/>
          <w:sz w:val="22"/>
          <w:highlight w:val="yellow"/>
        </w:rPr>
        <w:t>[date]</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rPr>
        <w:t>le rapport du liquidateur sur l’ensemble des opérations de liquidation ;</w:t>
      </w:r>
    </w:p>
    <w:p>
      <w:pPr>
        <w:spacing w:after="40" w:before="0"/>
        <w:jc w:val="both"/>
      </w:pPr>
      <w:r>
        <w:rPr>
          <w:rFonts w:ascii="Calibri" w:hAnsi="Calibri" w:eastAsia="Calibri"/>
          <w:sz w:val="22"/>
        </w:rPr>
        <w:t xml:space="preserve">– </w:t>
      </w:r>
      <w:r>
        <w:rPr>
          <w:rFonts w:ascii="Calibri" w:hAnsi="Calibri" w:eastAsia="Calibri"/>
          <w:sz w:val="22"/>
          <w:highlight w:val="yellow"/>
        </w:rPr>
        <w:t>[le rapport du commissaire aux comptes ou des contrôleurs, s’il en existe]</w:t>
      </w:r>
      <w:r>
        <w:rPr>
          <w:rFonts w:ascii="Calibri" w:hAnsi="Calibri" w:eastAsia="Calibri"/>
          <w:sz w:val="22"/>
        </w:rPr>
        <w:t xml:space="preserve"> ;</w:t>
      </w:r>
    </w:p>
    <w:p>
      <w:pPr>
        <w:spacing w:after="120" w:before="0"/>
        <w:jc w:val="both"/>
      </w:pPr>
      <w:r>
        <w:rPr>
          <w:rFonts w:ascii="Calibri" w:hAnsi="Calibri" w:eastAsia="Calibri"/>
          <w:sz w:val="22"/>
        </w:rPr>
        <w:t xml:space="preserve">– </w:t>
      </w:r>
      <w:r>
        <w:rPr>
          <w:rFonts w:ascii="Calibri" w:hAnsi="Calibri" w:eastAsia="Calibri"/>
          <w:sz w:val="22"/>
        </w:rPr>
        <w:t>le projet de répartition du solde disponible et le texte des projets de résolutions.</w:t>
      </w:r>
    </w:p>
    <w:p>
      <w:pPr>
        <w:spacing w:after="80" w:before="0"/>
        <w:jc w:val="both"/>
      </w:pPr>
      <w:r>
        <w:rPr>
          <w:rFonts w:ascii="Calibri" w:hAnsi="Calibri" w:eastAsia="Calibri"/>
          <w:sz w:val="22"/>
        </w:rPr>
        <w:t xml:space="preserve">Le président de séance rappelle que </w:t>
      </w:r>
      <w:r>
        <w:rPr>
          <w:rFonts w:ascii="Calibri" w:hAnsi="Calibri" w:eastAsia="Calibri"/>
          <w:sz w:val="22"/>
          <w:highlight w:val="yellow"/>
        </w:rPr>
        <w:t>[SARL : le texte des résolutions proposées, le rapport du liquidateur et, le cas échéant, celui du commissaire aux comptes ont été adressés aux associés quinze jours au moins avant l’assemblée et tenus à leur disposition au siège social pendant ce délai, dans les conditions de l’article R. 223-19 du code de commerce / SAS : ces documents ont été communiqués aux associés dans les conditions prévues par les statuts]</w:t>
      </w:r>
      <w:r>
        <w:rPr>
          <w:rFonts w:ascii="Calibri" w:hAnsi="Calibri" w:eastAsia="Calibri"/>
          <w:sz w:val="22"/>
        </w:rPr>
        <w:t>, puis que l’assemblée est appelée à délibérer sur l’ordre du jour suivant :</w:t>
      </w:r>
    </w:p>
    <w:p>
      <w:pPr>
        <w:spacing w:after="40" w:before="0"/>
        <w:jc w:val="both"/>
      </w:pPr>
      <w:r>
        <w:rPr>
          <w:rFonts w:ascii="Calibri" w:hAnsi="Calibri" w:eastAsia="Calibri"/>
          <w:sz w:val="22"/>
        </w:rPr>
        <w:t>1. Rapport du liquidateur et approbation des comptes définitifs de liquidation</w:t>
      </w:r>
    </w:p>
    <w:p>
      <w:pPr>
        <w:spacing w:after="40" w:before="0"/>
        <w:jc w:val="both"/>
      </w:pPr>
      <w:r>
        <w:rPr>
          <w:rFonts w:ascii="Calibri" w:hAnsi="Calibri" w:eastAsia="Calibri"/>
          <w:sz w:val="22"/>
        </w:rPr>
        <w:t>2. Répartition du solde disponible (boni de liquidation) ou constat de l’insuffisance d’actif (mali)</w:t>
      </w:r>
    </w:p>
    <w:p>
      <w:pPr>
        <w:spacing w:after="40" w:before="0"/>
        <w:jc w:val="both"/>
      </w:pPr>
      <w:r>
        <w:rPr>
          <w:rFonts w:ascii="Calibri" w:hAnsi="Calibri" w:eastAsia="Calibri"/>
          <w:sz w:val="22"/>
        </w:rPr>
        <w:t>3. Quitus au liquidateur et décharge de son mandat</w:t>
      </w:r>
    </w:p>
    <w:p>
      <w:pPr>
        <w:spacing w:after="40" w:before="0"/>
        <w:jc w:val="both"/>
      </w:pPr>
      <w:r>
        <w:rPr>
          <w:rFonts w:ascii="Calibri" w:hAnsi="Calibri" w:eastAsia="Calibri"/>
          <w:sz w:val="22"/>
        </w:rPr>
        <w:t>4. Constatation de la clôture de la liquidation</w:t>
      </w:r>
    </w:p>
    <w:p>
      <w:pPr>
        <w:spacing w:after="40" w:before="0"/>
        <w:jc w:val="both"/>
      </w:pPr>
      <w:r>
        <w:rPr>
          <w:rFonts w:ascii="Calibri" w:hAnsi="Calibri" w:eastAsia="Calibri"/>
          <w:sz w:val="22"/>
        </w:rPr>
        <w:t>5. Pouvoirs pour les formalités</w:t>
      </w:r>
    </w:p>
    <w:p>
      <w:pPr>
        <w:spacing w:after="120"/>
      </w:pPr>
    </w:p>
    <w:p>
      <w:pPr>
        <w:spacing w:after="240" w:before="0"/>
        <w:jc w:val="both"/>
      </w:pPr>
      <w:r>
        <w:rPr>
          <w:rFonts w:ascii="Calibri" w:hAnsi="Calibri" w:eastAsia="Calibri"/>
          <w:sz w:val="22"/>
        </w:rPr>
        <w:t xml:space="preserve">Le liquidateur présente son rapport et les comptes définitifs. </w:t>
      </w:r>
      <w:r>
        <w:rPr>
          <w:rFonts w:ascii="Calibri" w:hAnsi="Calibri" w:eastAsia="Calibri"/>
          <w:b/>
          <w:sz w:val="22"/>
        </w:rPr>
        <w:t xml:space="preserve">Résumé des débats : </w:t>
      </w:r>
      <w:r>
        <w:rPr>
          <w:rFonts w:ascii="Calibri" w:hAnsi="Calibri" w:eastAsia="Calibri"/>
          <w:sz w:val="22"/>
          <w:highlight w:val="yellow"/>
        </w:rPr>
        <w:t>[actifs réalisés, dettes réglées, frais de liquidation, litiges éventuels, questions et réponses]</w:t>
      </w:r>
      <w:r>
        <w:rPr>
          <w:rFonts w:ascii="Calibri" w:hAnsi="Calibri" w:eastAsia="Calibri"/>
          <w:sz w:val="22"/>
        </w:rPr>
        <w:t>.</w:t>
      </w:r>
    </w:p>
    <w:p>
      <w:pPr>
        <w:spacing w:after="120" w:before="0"/>
      </w:pPr>
      <w:r>
        <w:rPr>
          <w:rFonts w:ascii="Calibri" w:hAnsi="Calibri" w:eastAsia="Calibri"/>
          <w:b/>
          <w:sz w:val="22"/>
        </w:rPr>
        <w:t>PREMIÈRE RÉSOLUTION — Approbation des comptes définitifs de liquidation</w:t>
      </w:r>
    </w:p>
    <w:p>
      <w:pPr>
        <w:spacing w:after="160" w:before="0"/>
        <w:jc w:val="both"/>
      </w:pPr>
      <w:r>
        <w:rPr>
          <w:rFonts w:ascii="Calibri" w:hAnsi="Calibri" w:eastAsia="Calibri"/>
          <w:sz w:val="22"/>
        </w:rPr>
        <w:t xml:space="preserve">L’assemblée générale, après avoir entendu le rapport du liquidateur </w:t>
      </w:r>
      <w:r>
        <w:rPr>
          <w:rFonts w:ascii="Calibri" w:hAnsi="Calibri" w:eastAsia="Calibri"/>
          <w:sz w:val="22"/>
          <w:highlight w:val="yellow"/>
        </w:rPr>
        <w:t>[et celui du commissaire aux comptes / des contrôleurs]</w:t>
      </w:r>
      <w:r>
        <w:rPr>
          <w:rFonts w:ascii="Calibri" w:hAnsi="Calibri" w:eastAsia="Calibri"/>
          <w:sz w:val="22"/>
        </w:rPr>
        <w:t xml:space="preserve">, approuve les comptes définitifs de liquidation arrêtés au </w:t>
      </w:r>
      <w:r>
        <w:rPr>
          <w:rFonts w:ascii="Calibri" w:hAnsi="Calibri" w:eastAsia="Calibri"/>
          <w:sz w:val="22"/>
          <w:highlight w:val="yellow"/>
        </w:rPr>
        <w:t>[date]</w:t>
      </w:r>
      <w:r>
        <w:rPr>
          <w:rFonts w:ascii="Calibri" w:hAnsi="Calibri" w:eastAsia="Calibri"/>
          <w:sz w:val="22"/>
        </w:rPr>
        <w:t xml:space="preserve">, tels qu’ils lui ont été présentés, faisant apparaître </w:t>
      </w:r>
      <w:r>
        <w:rPr>
          <w:rFonts w:ascii="Calibri" w:hAnsi="Calibri" w:eastAsia="Calibri"/>
          <w:sz w:val="22"/>
          <w:highlight w:val="yellow"/>
        </w:rPr>
        <w:t>[un solde disponible positif de … € / une insuffisance d’actif de … €]</w:t>
      </w:r>
      <w:r>
        <w:rPr>
          <w:rFonts w:ascii="Calibri" w:hAnsi="Calibri" w:eastAsia="Calibri"/>
          <w:sz w:val="22"/>
        </w:rPr>
        <w:t>.</w:t>
      </w:r>
    </w:p>
    <w:p>
      <w:pPr>
        <w:spacing w:after="80" w:before="0"/>
        <w:jc w:val="both"/>
      </w:pPr>
      <w:r>
        <w:rPr>
          <w:rFonts w:ascii="Calibri" w:hAnsi="Calibri" w:eastAsia="Calibri"/>
          <w:sz w:val="22"/>
        </w:rPr>
        <w:t>Ces comptes se résument ainsi :</w:t>
      </w:r>
    </w:p>
    <w:tbl>
      <w:tblPr>
        <w:tblStyle w:val="TableGrid"/>
        <w:tblW w:type="auto" w:w="0"/>
        <w:tblLook w:firstColumn="1" w:firstRow="1" w:lastColumn="0" w:lastRow="0" w:noHBand="0" w:noVBand="1" w:val="04A0"/>
      </w:tblPr>
      <w:tblGrid>
        <w:gridCol w:w="4816"/>
        <w:gridCol w:w="4816"/>
      </w:tblGrid>
      <w:tr>
        <w:tc>
          <w:tcPr>
            <w:tcW w:type="dxa" w:w="4816"/>
          </w:tcPr>
          <w:p>
            <w:pPr>
              <w:spacing w:after="0" w:before="0"/>
            </w:pPr>
            <w:r>
              <w:rPr>
                <w:rFonts w:ascii="Calibri" w:hAnsi="Calibri" w:eastAsia="Calibri"/>
                <w:b/>
                <w:sz w:val="19"/>
              </w:rPr>
              <w:t>Poste</w:t>
            </w:r>
          </w:p>
        </w:tc>
        <w:tc>
          <w:tcPr>
            <w:tcW w:type="dxa" w:w="4816"/>
          </w:tcPr>
          <w:p>
            <w:pPr>
              <w:spacing w:after="0" w:before="0"/>
            </w:pPr>
            <w:r>
              <w:rPr>
                <w:rFonts w:ascii="Calibri" w:hAnsi="Calibri" w:eastAsia="Calibri"/>
                <w:b/>
                <w:sz w:val="19"/>
              </w:rPr>
              <w:t>Montant (€)</w:t>
            </w:r>
          </w:p>
        </w:tc>
      </w:tr>
      <w:tr>
        <w:tc>
          <w:tcPr>
            <w:tcW w:type="dxa" w:w="4816"/>
          </w:tcPr>
          <w:p>
            <w:pPr>
              <w:spacing w:after="0" w:before="0"/>
            </w:pPr>
            <w:r>
              <w:rPr>
                <w:rFonts w:ascii="Calibri" w:hAnsi="Calibri" w:eastAsia="Calibri"/>
                <w:sz w:val="19"/>
              </w:rPr>
              <w:t>Produit de la réalisation de l’actif (cessions, créances recouvrées, trésorerie)</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sz w:val="19"/>
              </w:rPr>
              <w:t>Passif réglé (fournisseurs, dettes fiscales et sociales, emprunts, autres)</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sz w:val="19"/>
              </w:rPr>
              <w:t>Frais de liquidation</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b/>
                <w:sz w:val="19"/>
              </w:rPr>
              <w:t>Solde disponible</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sz w:val="19"/>
              </w:rPr>
              <w:t>dont remboursement du nominal des parts / actions</w:t>
            </w:r>
          </w:p>
        </w:tc>
        <w:tc>
          <w:tcPr>
            <w:tcW w:type="dxa" w:w="4816"/>
          </w:tcPr>
          <w:p>
            <w:pPr>
              <w:spacing w:after="0" w:before="0"/>
            </w:pPr>
            <w:r>
              <w:rPr>
                <w:rFonts w:ascii="Calibri" w:hAnsi="Calibri" w:eastAsia="Calibri"/>
                <w:sz w:val="19"/>
                <w:highlight w:val="yellow"/>
              </w:rPr>
              <w:t>[montant]</w:t>
            </w:r>
          </w:p>
        </w:tc>
      </w:tr>
      <w:tr>
        <w:tc>
          <w:tcPr>
            <w:tcW w:type="dxa" w:w="4816"/>
          </w:tcPr>
          <w:p>
            <w:pPr>
              <w:spacing w:after="0" w:before="0"/>
            </w:pPr>
            <w:r>
              <w:rPr>
                <w:rFonts w:ascii="Calibri" w:hAnsi="Calibri" w:eastAsia="Calibri"/>
                <w:b/>
                <w:sz w:val="19"/>
              </w:rPr>
              <w:t>Boni de liquidation (ou mali)</w:t>
            </w:r>
          </w:p>
        </w:tc>
        <w:tc>
          <w:tcPr>
            <w:tcW w:type="dxa" w:w="4816"/>
          </w:tcPr>
          <w:p>
            <w:pPr>
              <w:spacing w:after="0" w:before="0"/>
            </w:pPr>
            <w:r>
              <w:rPr>
                <w:rFonts w:ascii="Calibri" w:hAnsi="Calibri" w:eastAsia="Calibri"/>
                <w:sz w:val="19"/>
                <w:highlight w:val="yellow"/>
              </w:rPr>
              <w:t>[montant]</w:t>
            </w:r>
          </w:p>
        </w:tc>
      </w:tr>
    </w:tbl>
    <w:p>
      <w:pPr>
        <w:spacing w:after="160"/>
      </w:pPr>
    </w:p>
    <w:p>
      <w:pPr>
        <w:spacing w:after="160" w:before="0"/>
        <w:jc w:val="both"/>
      </w:pPr>
      <w:r>
        <w:rPr>
          <w:rFonts w:ascii="Calibri" w:hAnsi="Calibri" w:eastAsia="Calibri"/>
          <w:sz w:val="22"/>
        </w:rPr>
        <w:t xml:space="preserve">Le liquidateur déclare que l’ensemble du passif social a été réglé </w:t>
      </w:r>
      <w:r>
        <w:rPr>
          <w:rFonts w:ascii="Calibri" w:hAnsi="Calibri" w:eastAsia="Calibri"/>
          <w:sz w:val="22"/>
          <w:highlight w:val="yellow"/>
        </w:rPr>
        <w:t>[ou : que les sommes suivantes restent dues et ont été consignées : …]</w:t>
      </w:r>
      <w:r>
        <w:rPr>
          <w:rFonts w:ascii="Calibri" w:hAnsi="Calibri" w:eastAsia="Calibri"/>
          <w:sz w:val="22"/>
        </w:rPr>
        <w:t>.</w:t>
      </w:r>
    </w:p>
    <w:p>
      <w:pPr>
        <w:spacing w:after="40" w:before="0"/>
        <w:jc w:val="both"/>
      </w:pPr>
      <w:r>
        <w:rPr>
          <w:rFonts w:ascii="Calibri" w:hAnsi="Calibri" w:eastAsia="Calibri"/>
          <w:sz w:val="22"/>
        </w:rPr>
        <w:t xml:space="preserve">Votes : pour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contre </w:t>
      </w:r>
      <w:r>
        <w:rPr>
          <w:rFonts w:ascii="Calibri" w:hAnsi="Calibri" w:eastAsia="Calibri"/>
          <w:sz w:val="22"/>
          <w:highlight w:val="yellow"/>
        </w:rPr>
        <w:t>[nombre]</w:t>
      </w:r>
      <w:r>
        <w:rPr>
          <w:rFonts w:ascii="Calibri" w:hAnsi="Calibri" w:eastAsia="Calibri"/>
          <w:sz w:val="22"/>
        </w:rPr>
        <w:t xml:space="preserve"> ; abstention(s) </w:t>
      </w:r>
      <w:r>
        <w:rPr>
          <w:rFonts w:ascii="Calibri" w:hAnsi="Calibri" w:eastAsia="Calibri"/>
          <w:sz w:val="22"/>
          <w:highlight w:val="yellow"/>
        </w:rPr>
        <w:t>[nombre]</w:t>
      </w:r>
      <w:r>
        <w:rPr>
          <w:rFonts w:ascii="Calibri" w:hAnsi="Calibri" w:eastAsia="Calibri"/>
          <w:sz w:val="22"/>
        </w:rPr>
        <w:t>.</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 xml:space="preserve"> à </w:t>
      </w:r>
      <w:r>
        <w:rPr>
          <w:rFonts w:ascii="Calibri" w:hAnsi="Calibri" w:eastAsia="Calibri"/>
          <w:b/>
          <w:sz w:val="22"/>
          <w:highlight w:val="yellow"/>
        </w:rPr>
        <w:t>[l’unanimité / la majorité de …]</w:t>
      </w:r>
      <w:r>
        <w:rPr>
          <w:rFonts w:ascii="Calibri" w:hAnsi="Calibri" w:eastAsia="Calibri"/>
          <w:b/>
          <w:sz w:val="22"/>
        </w:rPr>
        <w:t>.</w:t>
      </w:r>
    </w:p>
    <w:p>
      <w:pPr>
        <w:spacing w:after="120" w:before="0"/>
      </w:pPr>
      <w:r>
        <w:rPr>
          <w:rFonts w:ascii="Calibri" w:hAnsi="Calibri" w:eastAsia="Calibri"/>
          <w:b/>
          <w:sz w:val="22"/>
        </w:rPr>
        <w:t>DEUXIÈME RÉSOLUTION — Répartition du solde disponible</w:t>
      </w:r>
    </w:p>
    <w:p>
      <w:pPr>
        <w:spacing w:after="80" w:before="0"/>
        <w:jc w:val="both"/>
      </w:pPr>
      <w:r>
        <w:rPr>
          <w:rFonts w:ascii="Calibri" w:hAnsi="Calibri" w:eastAsia="Calibri"/>
          <w:b/>
          <w:sz w:val="22"/>
          <w:highlight w:val="yellow"/>
        </w:rPr>
        <w:t>[Option A — boni de liquidation]</w:t>
      </w:r>
      <w:r>
        <w:rPr>
          <w:rFonts w:ascii="Calibri" w:hAnsi="Calibri" w:eastAsia="Calibri"/>
          <w:sz w:val="22"/>
        </w:rPr>
        <w:t xml:space="preserve"> L’assemblée générale décide que le solde disponible, soit </w:t>
      </w:r>
      <w:r>
        <w:rPr>
          <w:rFonts w:ascii="Calibri" w:hAnsi="Calibri" w:eastAsia="Calibri"/>
          <w:sz w:val="22"/>
          <w:highlight w:val="yellow"/>
        </w:rPr>
        <w:t>[montant]</w:t>
      </w:r>
      <w:r>
        <w:rPr>
          <w:rFonts w:ascii="Calibri" w:hAnsi="Calibri" w:eastAsia="Calibri"/>
          <w:sz w:val="22"/>
        </w:rPr>
        <w:t xml:space="preserve"> €, sera employé d’abord au remboursement du nominal des </w:t>
      </w:r>
      <w:r>
        <w:rPr>
          <w:rFonts w:ascii="Calibri" w:hAnsi="Calibri" w:eastAsia="Calibri"/>
          <w:sz w:val="22"/>
          <w:highlight w:val="yellow"/>
        </w:rPr>
        <w:t>[parts / actions]</w:t>
      </w:r>
      <w:r>
        <w:rPr>
          <w:rFonts w:ascii="Calibri" w:hAnsi="Calibri" w:eastAsia="Calibri"/>
          <w:sz w:val="22"/>
        </w:rPr>
        <w:t xml:space="preserve">, puis que le boni de liquidation, soit </w:t>
      </w:r>
      <w:r>
        <w:rPr>
          <w:rFonts w:ascii="Calibri" w:hAnsi="Calibri" w:eastAsia="Calibri"/>
          <w:sz w:val="22"/>
          <w:highlight w:val="yellow"/>
        </w:rPr>
        <w:t>[montant]</w:t>
      </w:r>
      <w:r>
        <w:rPr>
          <w:rFonts w:ascii="Calibri" w:hAnsi="Calibri" w:eastAsia="Calibri"/>
          <w:sz w:val="22"/>
        </w:rPr>
        <w:t xml:space="preserve"> €, sera partagé entre les associés </w:t>
      </w:r>
      <w:r>
        <w:rPr>
          <w:rFonts w:ascii="Calibri" w:hAnsi="Calibri" w:eastAsia="Calibri"/>
          <w:sz w:val="22"/>
          <w:highlight w:val="yellow"/>
        </w:rPr>
        <w:t>[dans les mêmes proportions que leur participation au capital social (C. com., art. L. 237-29) / selon l’article … des statuts]</w:t>
      </w:r>
      <w:r>
        <w:rPr>
          <w:rFonts w:ascii="Calibri" w:hAnsi="Calibri" w:eastAsia="Calibri"/>
          <w:sz w:val="22"/>
        </w:rPr>
        <w:t>, conformément au tableau suivant :</w:t>
      </w:r>
    </w:p>
    <w:tbl>
      <w:tblPr>
        <w:tblStyle w:val="TableGrid"/>
        <w:tblW w:type="auto" w:w="0"/>
        <w:tblLook w:firstColumn="1" w:firstRow="1" w:lastColumn="0" w:lastRow="0" w:noHBand="0" w:noVBand="1" w:val="04A0"/>
      </w:tblPr>
      <w:tblGrid>
        <w:gridCol w:w="1926"/>
        <w:gridCol w:w="1926"/>
        <w:gridCol w:w="1926"/>
        <w:gridCol w:w="1926"/>
        <w:gridCol w:w="1926"/>
      </w:tblGrid>
      <w:tr>
        <w:tc>
          <w:tcPr>
            <w:tcW w:type="dxa" w:w="1926"/>
          </w:tcPr>
          <w:p>
            <w:pPr>
              <w:spacing w:after="0" w:before="0"/>
            </w:pPr>
            <w:r>
              <w:rPr>
                <w:rFonts w:ascii="Calibri" w:hAnsi="Calibri" w:eastAsia="Calibri"/>
                <w:b/>
                <w:sz w:val="19"/>
              </w:rPr>
              <w:t>Associé</w:t>
            </w:r>
          </w:p>
        </w:tc>
        <w:tc>
          <w:tcPr>
            <w:tcW w:type="dxa" w:w="1926"/>
          </w:tcPr>
          <w:p>
            <w:pPr>
              <w:spacing w:after="0" w:before="0"/>
            </w:pPr>
            <w:r>
              <w:rPr>
                <w:rFonts w:ascii="Calibri" w:hAnsi="Calibri" w:eastAsia="Calibri"/>
                <w:b/>
                <w:sz w:val="19"/>
              </w:rPr>
              <w:t>Parts / actions</w:t>
            </w:r>
          </w:p>
        </w:tc>
        <w:tc>
          <w:tcPr>
            <w:tcW w:type="dxa" w:w="1926"/>
          </w:tcPr>
          <w:p>
            <w:pPr>
              <w:spacing w:after="0" w:before="0"/>
            </w:pPr>
            <w:r>
              <w:rPr>
                <w:rFonts w:ascii="Calibri" w:hAnsi="Calibri" w:eastAsia="Calibri"/>
                <w:b/>
                <w:sz w:val="19"/>
              </w:rPr>
              <w:t>Remboursement du nominal (€)</w:t>
            </w:r>
          </w:p>
        </w:tc>
        <w:tc>
          <w:tcPr>
            <w:tcW w:type="dxa" w:w="1926"/>
          </w:tcPr>
          <w:p>
            <w:pPr>
              <w:spacing w:after="0" w:before="0"/>
            </w:pPr>
            <w:r>
              <w:rPr>
                <w:rFonts w:ascii="Calibri" w:hAnsi="Calibri" w:eastAsia="Calibri"/>
                <w:b/>
                <w:sz w:val="19"/>
              </w:rPr>
              <w:t>Quote-part du boni (€)</w:t>
            </w:r>
          </w:p>
        </w:tc>
        <w:tc>
          <w:tcPr>
            <w:tcW w:type="dxa" w:w="1926"/>
          </w:tcPr>
          <w:p>
            <w:pPr>
              <w:spacing w:after="0" w:before="0"/>
            </w:pPr>
            <w:r>
              <w:rPr>
                <w:rFonts w:ascii="Calibri" w:hAnsi="Calibri" w:eastAsia="Calibri"/>
                <w:b/>
                <w:sz w:val="19"/>
              </w:rPr>
              <w:t>Total (€)</w:t>
            </w:r>
          </w:p>
        </w:tc>
      </w:tr>
      <w:tr>
        <w:tc>
          <w:tcPr>
            <w:tcW w:type="dxa" w:w="1926"/>
          </w:tcPr>
          <w:p>
            <w:pPr>
              <w:spacing w:after="0" w:before="0"/>
            </w:pPr>
            <w:r>
              <w:rPr>
                <w:rFonts w:ascii="Calibri" w:hAnsi="Calibri" w:eastAsia="Calibri"/>
                <w:sz w:val="19"/>
                <w:highlight w:val="yellow"/>
              </w:rPr>
              <w:t>[Prénom NOM]</w:t>
            </w:r>
          </w:p>
        </w:tc>
        <w:tc>
          <w:tcPr>
            <w:tcW w:type="dxa" w:w="1926"/>
          </w:tcPr>
          <w:p>
            <w:pPr>
              <w:spacing w:after="0" w:before="0"/>
            </w:pPr>
            <w:r>
              <w:rPr>
                <w:rFonts w:ascii="Calibri" w:hAnsi="Calibri" w:eastAsia="Calibri"/>
                <w:sz w:val="19"/>
                <w:highlight w:val="yellow"/>
              </w:rPr>
              <w:t>[nombre]</w:t>
            </w:r>
          </w:p>
        </w:tc>
        <w:tc>
          <w:tcPr>
            <w:tcW w:type="dxa" w:w="1926"/>
          </w:tcPr>
          <w:p>
            <w:pPr>
              <w:spacing w:after="0" w:before="0"/>
            </w:pPr>
            <w:r>
              <w:rPr>
                <w:rFonts w:ascii="Calibri" w:hAnsi="Calibri" w:eastAsia="Calibri"/>
                <w:sz w:val="19"/>
                <w:highlight w:val="yellow"/>
              </w:rPr>
              <w:t>[montant]</w:t>
            </w:r>
          </w:p>
        </w:tc>
        <w:tc>
          <w:tcPr>
            <w:tcW w:type="dxa" w:w="1926"/>
          </w:tcPr>
          <w:p>
            <w:pPr>
              <w:spacing w:after="0" w:before="0"/>
            </w:pPr>
            <w:r>
              <w:rPr>
                <w:rFonts w:ascii="Calibri" w:hAnsi="Calibri" w:eastAsia="Calibri"/>
                <w:sz w:val="19"/>
                <w:highlight w:val="yellow"/>
              </w:rPr>
              <w:t>[montant]</w:t>
            </w:r>
          </w:p>
        </w:tc>
        <w:tc>
          <w:tcPr>
            <w:tcW w:type="dxa" w:w="1926"/>
          </w:tcPr>
          <w:p>
            <w:pPr>
              <w:spacing w:after="0" w:before="0"/>
            </w:pPr>
            <w:r>
              <w:rPr>
                <w:rFonts w:ascii="Calibri" w:hAnsi="Calibri" w:eastAsia="Calibri"/>
                <w:sz w:val="19"/>
                <w:highlight w:val="yellow"/>
              </w:rPr>
              <w:t>[montant]</w:t>
            </w:r>
          </w:p>
        </w:tc>
      </w:tr>
      <w:tr>
        <w:tc>
          <w:tcPr>
            <w:tcW w:type="dxa" w:w="1926"/>
          </w:tcPr>
          <w:p>
            <w:pPr>
              <w:spacing w:after="0" w:before="0"/>
            </w:pPr>
            <w:r>
              <w:rPr>
                <w:rFonts w:ascii="Calibri" w:hAnsi="Calibri" w:eastAsia="Calibri"/>
                <w:sz w:val="19"/>
                <w:highlight w:val="yellow"/>
              </w:rPr>
              <w:t>[Prénom NOM]</w:t>
            </w:r>
          </w:p>
        </w:tc>
        <w:tc>
          <w:tcPr>
            <w:tcW w:type="dxa" w:w="1926"/>
          </w:tcPr>
          <w:p>
            <w:pPr>
              <w:spacing w:after="0" w:before="0"/>
            </w:pPr>
            <w:r>
              <w:rPr>
                <w:rFonts w:ascii="Calibri" w:hAnsi="Calibri" w:eastAsia="Calibri"/>
                <w:sz w:val="19"/>
                <w:highlight w:val="yellow"/>
              </w:rPr>
              <w:t>[nombre]</w:t>
            </w:r>
          </w:p>
        </w:tc>
        <w:tc>
          <w:tcPr>
            <w:tcW w:type="dxa" w:w="1926"/>
          </w:tcPr>
          <w:p>
            <w:pPr>
              <w:spacing w:after="0" w:before="0"/>
            </w:pPr>
            <w:r>
              <w:rPr>
                <w:rFonts w:ascii="Calibri" w:hAnsi="Calibri" w:eastAsia="Calibri"/>
                <w:sz w:val="19"/>
                <w:highlight w:val="yellow"/>
              </w:rPr>
              <w:t>[montant]</w:t>
            </w:r>
          </w:p>
        </w:tc>
        <w:tc>
          <w:tcPr>
            <w:tcW w:type="dxa" w:w="1926"/>
          </w:tcPr>
          <w:p>
            <w:pPr>
              <w:spacing w:after="0" w:before="0"/>
            </w:pPr>
            <w:r>
              <w:rPr>
                <w:rFonts w:ascii="Calibri" w:hAnsi="Calibri" w:eastAsia="Calibri"/>
                <w:sz w:val="19"/>
                <w:highlight w:val="yellow"/>
              </w:rPr>
              <w:t>[montant]</w:t>
            </w:r>
          </w:p>
        </w:tc>
        <w:tc>
          <w:tcPr>
            <w:tcW w:type="dxa" w:w="1926"/>
          </w:tcPr>
          <w:p>
            <w:pPr>
              <w:spacing w:after="0" w:before="0"/>
            </w:pPr>
            <w:r>
              <w:rPr>
                <w:rFonts w:ascii="Calibri" w:hAnsi="Calibri" w:eastAsia="Calibri"/>
                <w:sz w:val="19"/>
                <w:highlight w:val="yellow"/>
              </w:rPr>
              <w:t>[montant]</w:t>
            </w:r>
          </w:p>
        </w:tc>
      </w:tr>
      <w:tr>
        <w:tc>
          <w:tcPr>
            <w:tcW w:type="dxa" w:w="1926"/>
          </w:tcPr>
          <w:p>
            <w:pPr>
              <w:spacing w:after="0" w:before="0"/>
            </w:pPr>
            <w:r>
              <w:rPr>
                <w:rFonts w:ascii="Calibri" w:hAnsi="Calibri" w:eastAsia="Calibri"/>
                <w:b/>
                <w:sz w:val="19"/>
              </w:rPr>
              <w:t>Total</w:t>
            </w:r>
          </w:p>
        </w:tc>
        <w:tc>
          <w:tcPr>
            <w:tcW w:type="dxa" w:w="1926"/>
          </w:tcPr>
          <w:p>
            <w:pPr>
              <w:spacing w:after="0" w:before="0"/>
            </w:pPr>
            <w:r>
              <w:rPr>
                <w:rFonts w:ascii="Calibri" w:hAnsi="Calibri" w:eastAsia="Calibri"/>
                <w:sz w:val="19"/>
                <w:highlight w:val="yellow"/>
              </w:rPr>
              <w:t>[nombre]</w:t>
            </w:r>
          </w:p>
        </w:tc>
        <w:tc>
          <w:tcPr>
            <w:tcW w:type="dxa" w:w="1926"/>
          </w:tcPr>
          <w:p>
            <w:pPr>
              <w:spacing w:after="0" w:before="0"/>
            </w:pPr>
            <w:r>
              <w:rPr>
                <w:rFonts w:ascii="Calibri" w:hAnsi="Calibri" w:eastAsia="Calibri"/>
                <w:sz w:val="19"/>
                <w:highlight w:val="yellow"/>
              </w:rPr>
              <w:t>[montant]</w:t>
            </w:r>
          </w:p>
        </w:tc>
        <w:tc>
          <w:tcPr>
            <w:tcW w:type="dxa" w:w="1926"/>
          </w:tcPr>
          <w:p>
            <w:pPr>
              <w:spacing w:after="0" w:before="0"/>
            </w:pPr>
            <w:r>
              <w:rPr>
                <w:rFonts w:ascii="Calibri" w:hAnsi="Calibri" w:eastAsia="Calibri"/>
                <w:sz w:val="19"/>
                <w:highlight w:val="yellow"/>
              </w:rPr>
              <w:t>[montant]</w:t>
            </w:r>
          </w:p>
        </w:tc>
        <w:tc>
          <w:tcPr>
            <w:tcW w:type="dxa" w:w="1926"/>
          </w:tcPr>
          <w:p>
            <w:pPr>
              <w:spacing w:after="0" w:before="0"/>
            </w:pPr>
            <w:r>
              <w:rPr>
                <w:rFonts w:ascii="Calibri" w:hAnsi="Calibri" w:eastAsia="Calibri"/>
                <w:sz w:val="19"/>
                <w:highlight w:val="yellow"/>
              </w:rPr>
              <w:t>[montant]</w:t>
            </w:r>
          </w:p>
        </w:tc>
      </w:tr>
    </w:tbl>
    <w:p>
      <w:pPr>
        <w:spacing w:after="160"/>
      </w:pPr>
    </w:p>
    <w:p>
      <w:pPr>
        <w:spacing w:after="160" w:before="0"/>
        <w:jc w:val="both"/>
      </w:pPr>
      <w:r>
        <w:rPr>
          <w:rFonts w:ascii="Calibri" w:hAnsi="Calibri" w:eastAsia="Calibri"/>
          <w:sz w:val="22"/>
        </w:rPr>
        <w:t xml:space="preserve">Les sommes revenant à chaque associé lui seront versées </w:t>
      </w:r>
      <w:r>
        <w:rPr>
          <w:rFonts w:ascii="Calibri" w:hAnsi="Calibri" w:eastAsia="Calibri"/>
          <w:sz w:val="22"/>
          <w:highlight w:val="yellow"/>
        </w:rPr>
        <w:t>[par virement, au plus tard le …]</w:t>
      </w:r>
      <w:r>
        <w:rPr>
          <w:rFonts w:ascii="Calibri" w:hAnsi="Calibri" w:eastAsia="Calibri"/>
          <w:sz w:val="22"/>
        </w:rPr>
        <w:t xml:space="preserve">. </w:t>
      </w:r>
      <w:r>
        <w:rPr>
          <w:rFonts w:ascii="Calibri" w:hAnsi="Calibri" w:eastAsia="Calibri"/>
          <w:sz w:val="22"/>
          <w:highlight w:val="yellow"/>
        </w:rPr>
        <w:t>[Le cas échéant : les sommes qui n’auraient pu être versées seront déposées à la Caisse des dépôts et consignations à l’expiration d’un délai d’un an à compter de la clôture de la liquidation (C. com., art. R. 237-18).]</w:t>
      </w:r>
    </w:p>
    <w:p>
      <w:pPr>
        <w:spacing w:after="160" w:before="0"/>
        <w:jc w:val="both"/>
      </w:pPr>
      <w:r>
        <w:rPr>
          <w:rFonts w:ascii="Calibri" w:hAnsi="Calibri" w:eastAsia="Calibri"/>
          <w:b/>
          <w:sz w:val="22"/>
          <w:highlight w:val="yellow"/>
        </w:rPr>
        <w:t>[Option B — insuffisance d’actif]</w:t>
      </w:r>
      <w:r>
        <w:rPr>
          <w:rFonts w:ascii="Calibri" w:hAnsi="Calibri" w:eastAsia="Calibri"/>
          <w:sz w:val="22"/>
        </w:rPr>
        <w:t xml:space="preserve"> L’assemblée générale constate que, l’intégralité du passif ayant été réglée, le solde disponible de </w:t>
      </w:r>
      <w:r>
        <w:rPr>
          <w:rFonts w:ascii="Calibri" w:hAnsi="Calibri" w:eastAsia="Calibri"/>
          <w:sz w:val="22"/>
          <w:highlight w:val="yellow"/>
        </w:rPr>
        <w:t>[montant]</w:t>
      </w:r>
      <w:r>
        <w:rPr>
          <w:rFonts w:ascii="Calibri" w:hAnsi="Calibri" w:eastAsia="Calibri"/>
          <w:sz w:val="22"/>
        </w:rPr>
        <w:t xml:space="preserve"> € ne permet de rembourser les apports qu’à hauteur de </w:t>
      </w:r>
      <w:r>
        <w:rPr>
          <w:rFonts w:ascii="Calibri" w:hAnsi="Calibri" w:eastAsia="Calibri"/>
          <w:sz w:val="22"/>
          <w:highlight w:val="yellow"/>
        </w:rPr>
        <w:t>[montant / pourcentage]</w:t>
      </w:r>
      <w:r>
        <w:rPr>
          <w:rFonts w:ascii="Calibri" w:hAnsi="Calibri" w:eastAsia="Calibri"/>
          <w:sz w:val="22"/>
        </w:rPr>
        <w:t xml:space="preserve">, somme qui sera répartie entre les associés </w:t>
      </w:r>
      <w:r>
        <w:rPr>
          <w:rFonts w:ascii="Calibri" w:hAnsi="Calibri" w:eastAsia="Calibri"/>
          <w:sz w:val="22"/>
          <w:highlight w:val="yellow"/>
        </w:rPr>
        <w:t>[à proportion de leur participation au capital / selon l’article … des statuts]</w:t>
      </w:r>
      <w:r>
        <w:rPr>
          <w:rFonts w:ascii="Calibri" w:hAnsi="Calibri" w:eastAsia="Calibri"/>
          <w:sz w:val="22"/>
        </w:rPr>
        <w:t xml:space="preserve"> </w:t>
      </w:r>
      <w:r>
        <w:rPr>
          <w:rFonts w:ascii="Calibri" w:hAnsi="Calibri" w:eastAsia="Calibri"/>
          <w:sz w:val="22"/>
          <w:highlight w:val="yellow"/>
        </w:rPr>
        <w:t>[ou : ne permet aucun remboursement des apports]</w:t>
      </w:r>
      <w:r>
        <w:rPr>
          <w:rFonts w:ascii="Calibri" w:hAnsi="Calibri" w:eastAsia="Calibri"/>
          <w:sz w:val="22"/>
        </w:rPr>
        <w:t>.</w:t>
      </w:r>
    </w:p>
    <w:p>
      <w:pPr>
        <w:spacing w:after="40" w:before="0"/>
        <w:jc w:val="both"/>
      </w:pPr>
      <w:r>
        <w:rPr>
          <w:rFonts w:ascii="Calibri" w:hAnsi="Calibri" w:eastAsia="Calibri"/>
          <w:sz w:val="22"/>
        </w:rPr>
        <w:t xml:space="preserve">Votes : pour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contre </w:t>
      </w:r>
      <w:r>
        <w:rPr>
          <w:rFonts w:ascii="Calibri" w:hAnsi="Calibri" w:eastAsia="Calibri"/>
          <w:sz w:val="22"/>
          <w:highlight w:val="yellow"/>
        </w:rPr>
        <w:t>[nombre]</w:t>
      </w:r>
      <w:r>
        <w:rPr>
          <w:rFonts w:ascii="Calibri" w:hAnsi="Calibri" w:eastAsia="Calibri"/>
          <w:sz w:val="22"/>
        </w:rPr>
        <w:t xml:space="preserve"> ; abstention(s) </w:t>
      </w:r>
      <w:r>
        <w:rPr>
          <w:rFonts w:ascii="Calibri" w:hAnsi="Calibri" w:eastAsia="Calibri"/>
          <w:sz w:val="22"/>
          <w:highlight w:val="yellow"/>
        </w:rPr>
        <w:t>[nombre]</w:t>
      </w:r>
      <w:r>
        <w:rPr>
          <w:rFonts w:ascii="Calibri" w:hAnsi="Calibri" w:eastAsia="Calibri"/>
          <w:sz w:val="22"/>
        </w:rPr>
        <w:t>.</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 xml:space="preserve"> à </w:t>
      </w:r>
      <w:r>
        <w:rPr>
          <w:rFonts w:ascii="Calibri" w:hAnsi="Calibri" w:eastAsia="Calibri"/>
          <w:b/>
          <w:sz w:val="22"/>
          <w:highlight w:val="yellow"/>
        </w:rPr>
        <w:t>[l’unanimité / la majorité de …]</w:t>
      </w:r>
      <w:r>
        <w:rPr>
          <w:rFonts w:ascii="Calibri" w:hAnsi="Calibri" w:eastAsia="Calibri"/>
          <w:b/>
          <w:sz w:val="22"/>
        </w:rPr>
        <w:t>.</w:t>
      </w:r>
    </w:p>
    <w:p>
      <w:pPr>
        <w:spacing w:after="120" w:before="0"/>
      </w:pPr>
      <w:r>
        <w:rPr>
          <w:rFonts w:ascii="Calibri" w:hAnsi="Calibri" w:eastAsia="Calibri"/>
          <w:b/>
          <w:sz w:val="22"/>
        </w:rPr>
        <w:t>TROISIÈME RÉSOLUTION — Quitus au liquidateur et décharge de son mandat</w:t>
      </w:r>
    </w:p>
    <w:p>
      <w:pPr>
        <w:spacing w:after="160" w:before="0"/>
        <w:jc w:val="both"/>
      </w:pPr>
      <w:r>
        <w:rPr>
          <w:rFonts w:ascii="Calibri" w:hAnsi="Calibri" w:eastAsia="Calibri"/>
          <w:sz w:val="22"/>
        </w:rPr>
        <w:t xml:space="preserve">L’assemblée générale donne quitus à </w:t>
      </w:r>
      <w:r>
        <w:rPr>
          <w:rFonts w:ascii="Calibri" w:hAnsi="Calibri" w:eastAsia="Calibri"/>
          <w:sz w:val="22"/>
          <w:highlight w:val="yellow"/>
        </w:rPr>
        <w:t>[Prénom NOM]</w:t>
      </w:r>
      <w:r>
        <w:rPr>
          <w:rFonts w:ascii="Calibri" w:hAnsi="Calibri" w:eastAsia="Calibri"/>
          <w:sz w:val="22"/>
        </w:rPr>
        <w:t xml:space="preserve"> de sa gestion en qualité de liquidateur et le décharge de son mandat (C. com., art. L. 237-9).</w:t>
      </w:r>
    </w:p>
    <w:p>
      <w:pPr>
        <w:spacing w:after="40" w:before="0"/>
        <w:jc w:val="both"/>
      </w:pPr>
      <w:r>
        <w:rPr>
          <w:rFonts w:ascii="Calibri" w:hAnsi="Calibri" w:eastAsia="Calibri"/>
          <w:sz w:val="22"/>
        </w:rPr>
        <w:t xml:space="preserve">Votes : pour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contre </w:t>
      </w:r>
      <w:r>
        <w:rPr>
          <w:rFonts w:ascii="Calibri" w:hAnsi="Calibri" w:eastAsia="Calibri"/>
          <w:sz w:val="22"/>
          <w:highlight w:val="yellow"/>
        </w:rPr>
        <w:t>[nombre]</w:t>
      </w:r>
      <w:r>
        <w:rPr>
          <w:rFonts w:ascii="Calibri" w:hAnsi="Calibri" w:eastAsia="Calibri"/>
          <w:sz w:val="22"/>
        </w:rPr>
        <w:t xml:space="preserve"> ; abstention(s) </w:t>
      </w:r>
      <w:r>
        <w:rPr>
          <w:rFonts w:ascii="Calibri" w:hAnsi="Calibri" w:eastAsia="Calibri"/>
          <w:sz w:val="22"/>
          <w:highlight w:val="yellow"/>
        </w:rPr>
        <w:t>[nombre]</w:t>
      </w:r>
      <w:r>
        <w:rPr>
          <w:rFonts w:ascii="Calibri" w:hAnsi="Calibri" w:eastAsia="Calibri"/>
          <w:sz w:val="22"/>
        </w:rPr>
        <w:t>.</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 xml:space="preserve"> à </w:t>
      </w:r>
      <w:r>
        <w:rPr>
          <w:rFonts w:ascii="Calibri" w:hAnsi="Calibri" w:eastAsia="Calibri"/>
          <w:b/>
          <w:sz w:val="22"/>
          <w:highlight w:val="yellow"/>
        </w:rPr>
        <w:t>[l’unanimité / la majorité de …]</w:t>
      </w:r>
      <w:r>
        <w:rPr>
          <w:rFonts w:ascii="Calibri" w:hAnsi="Calibri" w:eastAsia="Calibri"/>
          <w:b/>
          <w:sz w:val="22"/>
        </w:rPr>
        <w:t>.</w:t>
      </w:r>
    </w:p>
    <w:p>
      <w:pPr>
        <w:spacing w:after="120" w:before="0"/>
      </w:pPr>
      <w:r>
        <w:rPr>
          <w:rFonts w:ascii="Calibri" w:hAnsi="Calibri" w:eastAsia="Calibri"/>
          <w:b/>
          <w:sz w:val="22"/>
        </w:rPr>
        <w:t>QUATRIÈME RÉSOLUTION — Clôture de la liquidation</w:t>
      </w:r>
    </w:p>
    <w:p>
      <w:pPr>
        <w:spacing w:after="160" w:before="0"/>
        <w:jc w:val="both"/>
      </w:pPr>
      <w:r>
        <w:rPr>
          <w:rFonts w:ascii="Calibri" w:hAnsi="Calibri" w:eastAsia="Calibri"/>
          <w:sz w:val="22"/>
        </w:rPr>
        <w:t>L’assemblée générale constate la clôture de la liquidation à compter de ce jour.</w:t>
      </w:r>
    </w:p>
    <w:p>
      <w:pPr>
        <w:spacing w:after="160" w:before="0"/>
        <w:jc w:val="both"/>
      </w:pPr>
      <w:r>
        <w:rPr>
          <w:rFonts w:ascii="Calibri" w:hAnsi="Calibri" w:eastAsia="Calibri"/>
          <w:sz w:val="22"/>
          <w:highlight w:val="yellow"/>
        </w:rPr>
        <w:t>[Facultatif :]</w:t>
      </w:r>
      <w:r>
        <w:rPr>
          <w:rFonts w:ascii="Calibri" w:hAnsi="Calibri" w:eastAsia="Calibri"/>
          <w:sz w:val="22"/>
        </w:rPr>
        <w:t xml:space="preserve"> Les livres, documents et archives de la société seront conservés par </w:t>
      </w:r>
      <w:r>
        <w:rPr>
          <w:rFonts w:ascii="Calibri" w:hAnsi="Calibri" w:eastAsia="Calibri"/>
          <w:sz w:val="22"/>
          <w:highlight w:val="yellow"/>
        </w:rPr>
        <w:t>[Prénom NOM]</w:t>
      </w:r>
      <w:r>
        <w:rPr>
          <w:rFonts w:ascii="Calibri" w:hAnsi="Calibri" w:eastAsia="Calibri"/>
          <w:sz w:val="22"/>
        </w:rPr>
        <w:t xml:space="preserve">, à l’adresse suivante : </w:t>
      </w:r>
      <w:r>
        <w:rPr>
          <w:rFonts w:ascii="Calibri" w:hAnsi="Calibri" w:eastAsia="Calibri"/>
          <w:sz w:val="22"/>
          <w:highlight w:val="yellow"/>
        </w:rPr>
        <w:t>[adresse]</w:t>
      </w:r>
      <w:r>
        <w:rPr>
          <w:rFonts w:ascii="Calibri" w:hAnsi="Calibri" w:eastAsia="Calibri"/>
          <w:sz w:val="22"/>
        </w:rPr>
        <w:t>.</w:t>
      </w:r>
    </w:p>
    <w:p>
      <w:pPr>
        <w:spacing w:after="40" w:before="0"/>
        <w:jc w:val="both"/>
      </w:pPr>
      <w:r>
        <w:rPr>
          <w:rFonts w:ascii="Calibri" w:hAnsi="Calibri" w:eastAsia="Calibri"/>
          <w:sz w:val="22"/>
        </w:rPr>
        <w:t xml:space="preserve">Votes : pour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contre </w:t>
      </w:r>
      <w:r>
        <w:rPr>
          <w:rFonts w:ascii="Calibri" w:hAnsi="Calibri" w:eastAsia="Calibri"/>
          <w:sz w:val="22"/>
          <w:highlight w:val="yellow"/>
        </w:rPr>
        <w:t>[nombre]</w:t>
      </w:r>
      <w:r>
        <w:rPr>
          <w:rFonts w:ascii="Calibri" w:hAnsi="Calibri" w:eastAsia="Calibri"/>
          <w:sz w:val="22"/>
        </w:rPr>
        <w:t xml:space="preserve"> ; abstention(s) </w:t>
      </w:r>
      <w:r>
        <w:rPr>
          <w:rFonts w:ascii="Calibri" w:hAnsi="Calibri" w:eastAsia="Calibri"/>
          <w:sz w:val="22"/>
          <w:highlight w:val="yellow"/>
        </w:rPr>
        <w:t>[nombre]</w:t>
      </w:r>
      <w:r>
        <w:rPr>
          <w:rFonts w:ascii="Calibri" w:hAnsi="Calibri" w:eastAsia="Calibri"/>
          <w:sz w:val="22"/>
        </w:rPr>
        <w:t>.</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 xml:space="preserve"> à </w:t>
      </w:r>
      <w:r>
        <w:rPr>
          <w:rFonts w:ascii="Calibri" w:hAnsi="Calibri" w:eastAsia="Calibri"/>
          <w:b/>
          <w:sz w:val="22"/>
          <w:highlight w:val="yellow"/>
        </w:rPr>
        <w:t>[l’unanimité / la majorité de …]</w:t>
      </w:r>
      <w:r>
        <w:rPr>
          <w:rFonts w:ascii="Calibri" w:hAnsi="Calibri" w:eastAsia="Calibri"/>
          <w:b/>
          <w:sz w:val="22"/>
        </w:rPr>
        <w:t>.</w:t>
      </w:r>
    </w:p>
    <w:p>
      <w:pPr>
        <w:spacing w:after="120" w:before="0"/>
      </w:pPr>
      <w:r>
        <w:rPr>
          <w:rFonts w:ascii="Calibri" w:hAnsi="Calibri" w:eastAsia="Calibri"/>
          <w:b/>
          <w:sz w:val="22"/>
        </w:rPr>
        <w:t>CINQUIÈME RÉSOLUTION — Pouvoirs</w:t>
      </w:r>
    </w:p>
    <w:p>
      <w:pPr>
        <w:spacing w:after="80" w:before="0"/>
        <w:jc w:val="both"/>
      </w:pPr>
      <w:r>
        <w:rPr>
          <w:rFonts w:ascii="Calibri" w:hAnsi="Calibri" w:eastAsia="Calibri"/>
          <w:sz w:val="22"/>
        </w:rPr>
        <w:t>L’assemblée générale donne tous pouvoirs au liquidateur, ainsi qu’au porteur d’un original, d’une copie ou d’un extrait du présent procès-verbal, pour :</w:t>
      </w:r>
    </w:p>
    <w:p>
      <w:pPr>
        <w:spacing w:after="40" w:before="0"/>
        <w:jc w:val="both"/>
      </w:pPr>
      <w:r>
        <w:rPr>
          <w:rFonts w:ascii="Calibri" w:hAnsi="Calibri" w:eastAsia="Calibri"/>
          <w:sz w:val="22"/>
        </w:rPr>
        <w:t xml:space="preserve">– </w:t>
      </w:r>
      <w:r>
        <w:rPr>
          <w:rFonts w:ascii="Calibri" w:hAnsi="Calibri" w:eastAsia="Calibri"/>
          <w:sz w:val="22"/>
        </w:rPr>
        <w:t>déposer au greffe, en annexe au registre du commerce et des sociétés, les comptes définitifs, la présente décision, l’attestation prévue à l’article L. 243-15 du code de la sécurité sociale et le certificat relatif à certains impôts et taxes (C. com., art. R. 237-7) ;</w:t>
      </w:r>
    </w:p>
    <w:p>
      <w:pPr>
        <w:spacing w:after="40" w:before="0"/>
        <w:jc w:val="both"/>
      </w:pPr>
      <w:r>
        <w:rPr>
          <w:rFonts w:ascii="Calibri" w:hAnsi="Calibri" w:eastAsia="Calibri"/>
          <w:sz w:val="22"/>
        </w:rPr>
        <w:t xml:space="preserve">– </w:t>
      </w:r>
      <w:r>
        <w:rPr>
          <w:rFonts w:ascii="Calibri" w:hAnsi="Calibri" w:eastAsia="Calibri"/>
          <w:sz w:val="22"/>
        </w:rPr>
        <w:t>faire publier l’avis de clôture de la liquidation dans le support habilité ayant publié l’avis de nomination du liquidateur (C. com., art. R. 237-8) ;</w:t>
      </w:r>
    </w:p>
    <w:p>
      <w:pPr>
        <w:spacing w:after="40" w:before="0"/>
        <w:jc w:val="both"/>
      </w:pPr>
      <w:r>
        <w:rPr>
          <w:rFonts w:ascii="Calibri" w:hAnsi="Calibri" w:eastAsia="Calibri"/>
          <w:sz w:val="22"/>
        </w:rPr>
        <w:t xml:space="preserve">– </w:t>
      </w:r>
      <w:r>
        <w:rPr>
          <w:rFonts w:ascii="Calibri" w:hAnsi="Calibri" w:eastAsia="Calibri"/>
          <w:sz w:val="22"/>
        </w:rPr>
        <w:t>demander la radiation de la société dans le mois de la publication de la clôture (C. com., art. R. 123-75) ;</w:t>
      </w:r>
    </w:p>
    <w:p>
      <w:pPr>
        <w:spacing w:after="200" w:before="0"/>
        <w:jc w:val="both"/>
      </w:pPr>
      <w:r>
        <w:rPr>
          <w:rFonts w:ascii="Calibri" w:hAnsi="Calibri" w:eastAsia="Calibri"/>
          <w:sz w:val="22"/>
        </w:rPr>
        <w:t xml:space="preserve">– </w:t>
      </w:r>
      <w:r>
        <w:rPr>
          <w:rFonts w:ascii="Calibri" w:hAnsi="Calibri" w:eastAsia="Calibri"/>
          <w:sz w:val="22"/>
        </w:rPr>
        <w:t>faire enregistrer le présent acte s’il constate un partage entre associés (CGI, art. 635, 1, 7°).</w:t>
      </w:r>
    </w:p>
    <w:p>
      <w:pPr>
        <w:spacing w:after="40" w:before="0"/>
        <w:jc w:val="both"/>
      </w:pPr>
      <w:r>
        <w:rPr>
          <w:rFonts w:ascii="Calibri" w:hAnsi="Calibri" w:eastAsia="Calibri"/>
          <w:sz w:val="22"/>
        </w:rPr>
        <w:t xml:space="preserve">Votes : pour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 contre </w:t>
      </w:r>
      <w:r>
        <w:rPr>
          <w:rFonts w:ascii="Calibri" w:hAnsi="Calibri" w:eastAsia="Calibri"/>
          <w:sz w:val="22"/>
          <w:highlight w:val="yellow"/>
        </w:rPr>
        <w:t>[nombre]</w:t>
      </w:r>
      <w:r>
        <w:rPr>
          <w:rFonts w:ascii="Calibri" w:hAnsi="Calibri" w:eastAsia="Calibri"/>
          <w:sz w:val="22"/>
        </w:rPr>
        <w:t xml:space="preserve"> ; abstention(s) </w:t>
      </w:r>
      <w:r>
        <w:rPr>
          <w:rFonts w:ascii="Calibri" w:hAnsi="Calibri" w:eastAsia="Calibri"/>
          <w:sz w:val="22"/>
          <w:highlight w:val="yellow"/>
        </w:rPr>
        <w:t>[nombre]</w:t>
      </w:r>
      <w:r>
        <w:rPr>
          <w:rFonts w:ascii="Calibri" w:hAnsi="Calibri" w:eastAsia="Calibri"/>
          <w:sz w:val="22"/>
        </w:rPr>
        <w:t>.</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 xml:space="preserve"> à </w:t>
      </w:r>
      <w:r>
        <w:rPr>
          <w:rFonts w:ascii="Calibri" w:hAnsi="Calibri" w:eastAsia="Calibri"/>
          <w:b/>
          <w:sz w:val="22"/>
          <w:highlight w:val="yellow"/>
        </w:rPr>
        <w:t>[l’unanimité / la majorité de …]</w:t>
      </w:r>
      <w:r>
        <w:rPr>
          <w:rFonts w:ascii="Calibri" w:hAnsi="Calibri" w:eastAsia="Calibri"/>
          <w:b/>
          <w:sz w:val="22"/>
        </w:rPr>
        <w:t>.</w:t>
      </w:r>
    </w:p>
    <w:p>
      <w:pPr>
        <w:spacing w:after="320" w:before="0"/>
        <w:jc w:val="both"/>
      </w:pPr>
      <w:r>
        <w:rPr>
          <w:rFonts w:ascii="Calibri" w:hAnsi="Calibri" w:eastAsia="Calibri"/>
          <w:sz w:val="22"/>
        </w:rPr>
        <w:t xml:space="preserve">L’ordre du jour étant épuisé, la séance est levée à </w:t>
      </w:r>
      <w:r>
        <w:rPr>
          <w:rFonts w:ascii="Calibri" w:hAnsi="Calibri" w:eastAsia="Calibri"/>
          <w:sz w:val="22"/>
          <w:highlight w:val="yellow"/>
        </w:rPr>
        <w:t>[heure]</w:t>
      </w:r>
      <w:r>
        <w:rPr>
          <w:rFonts w:ascii="Calibri" w:hAnsi="Calibri" w:eastAsia="Calibri"/>
          <w:sz w:val="22"/>
        </w:rPr>
        <w:t xml:space="preserve">. De tout ce que dessus, il a été dressé le présent procès-verbal, signé par </w:t>
      </w:r>
      <w:r>
        <w:rPr>
          <w:rFonts w:ascii="Calibri" w:hAnsi="Calibri" w:eastAsia="Calibri"/>
          <w:sz w:val="22"/>
          <w:highlight w:val="yellow"/>
        </w:rPr>
        <w:t>[SARL : le liquidateur et, le cas échéant, le président de séance / SAS : les personnes désignées par les statuts, et le liquidateur]</w:t>
      </w:r>
      <w:r>
        <w:rPr>
          <w:rFonts w:ascii="Calibri" w:hAnsi="Calibri" w:eastAsia="Calibri"/>
          <w:sz w:val="22"/>
        </w:rPr>
        <w:t>.</w:t>
      </w:r>
    </w:p>
    <w:p>
      <w:pPr>
        <w:spacing w:after="40" w:before="0"/>
      </w:pPr>
      <w:r>
        <w:rPr>
          <w:rFonts w:ascii="Calibri" w:hAnsi="Calibri" w:eastAsia="Calibri"/>
          <w:b/>
          <w:sz w:val="22"/>
        </w:rPr>
        <w:t>Le président de séance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secrétaire de séance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liquidateur</w:t>
      </w:r>
    </w:p>
    <w:p>
      <w:pPr>
        <w:spacing w:after="280" w:before="0"/>
      </w:pPr>
      <w:r>
        <w:rPr>
          <w:rFonts w:ascii="Calibri" w:hAnsi="Calibri" w:eastAsia="Calibri"/>
          <w:sz w:val="22"/>
          <w:highlight w:val="yellow"/>
        </w:rPr>
        <w:t>[Prénom NOM — signature]</w:t>
      </w:r>
    </w:p>
    <w:p>
      <w:r>
        <w:br w:type="page"/>
      </w:r>
    </w:p>
    <w:p>
      <w:pPr>
        <w:spacing w:after="80" w:before="0"/>
      </w:pPr>
      <w:r>
        <w:rPr>
          <w:rFonts w:ascii="Calibri" w:hAnsi="Calibri" w:eastAsia="Calibri"/>
          <w:b/>
          <w:sz w:val="24"/>
        </w:rPr>
        <w:t>ANNEXE — Projet d’avis de clôture de la liquidation</w:t>
      </w:r>
    </w:p>
    <w:p>
      <w:pPr>
        <w:spacing w:after="200" w:before="0"/>
        <w:jc w:val="both"/>
      </w:pPr>
      <w:r>
        <w:rPr>
          <w:rFonts w:ascii="Calibri" w:hAnsi="Calibri" w:eastAsia="Calibri"/>
          <w:i/>
          <w:color w:val="4B5563"/>
          <w:sz w:val="22"/>
        </w:rPr>
        <w:t>Contenu exigé par l’article R. 237-8 du code de commerce ; avis signé par le liquidateur, publié dans le support qui a reçu l’avis de nomination.</w:t>
      </w:r>
    </w:p>
    <w:p>
      <w:pPr>
        <w:spacing w:after="160" w:before="0"/>
        <w:jc w:val="both"/>
      </w:pPr>
      <w:r>
        <w:rPr>
          <w:rFonts w:ascii="Calibri" w:hAnsi="Calibri" w:eastAsia="Calibri"/>
          <w:b/>
          <w:sz w:val="22"/>
          <w:highlight w:val="yellow"/>
        </w:rPr>
        <w:t>[DÉNOMINATION]</w:t>
      </w:r>
      <w:r>
        <w:rPr>
          <w:rFonts w:ascii="Calibri" w:hAnsi="Calibri" w:eastAsia="Calibri"/>
          <w:sz w:val="22"/>
        </w:rPr>
        <w:t xml:space="preserve"> </w:t>
      </w:r>
      <w:r>
        <w:rPr>
          <w:rFonts w:ascii="Calibri" w:hAnsi="Calibri" w:eastAsia="Calibri"/>
          <w:sz w:val="22"/>
          <w:highlight w:val="yellow"/>
        </w:rPr>
        <w:t>[sigle éventuel]</w:t>
      </w:r>
      <w:r>
        <w:rPr>
          <w:rFonts w:ascii="Calibri" w:hAnsi="Calibri" w:eastAsia="Calibri"/>
          <w:sz w:val="22"/>
        </w:rPr>
        <w:t xml:space="preserve"> — </w:t>
      </w:r>
      <w:r>
        <w:rPr>
          <w:rFonts w:ascii="Calibri" w:hAnsi="Calibri" w:eastAsia="Calibri"/>
          <w:sz w:val="22"/>
          <w:highlight w:val="yellow"/>
        </w:rPr>
        <w:t>[forme]</w:t>
      </w:r>
      <w:r>
        <w:rPr>
          <w:rFonts w:ascii="Calibri" w:hAnsi="Calibri" w:eastAsia="Calibri"/>
          <w:sz w:val="22"/>
        </w:rPr>
        <w:t xml:space="preserve"> en liquidation au capital de </w:t>
      </w:r>
      <w:r>
        <w:rPr>
          <w:rFonts w:ascii="Calibri" w:hAnsi="Calibri" w:eastAsia="Calibri"/>
          <w:sz w:val="22"/>
          <w:highlight w:val="yellow"/>
        </w:rPr>
        <w:t>[montant]</w:t>
      </w:r>
      <w:r>
        <w:rPr>
          <w:rFonts w:ascii="Calibri" w:hAnsi="Calibri" w:eastAsia="Calibri"/>
          <w:sz w:val="22"/>
        </w:rPr>
        <w:t xml:space="preserve"> € — 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r>
        <w:rPr>
          <w:rFonts w:ascii="Calibri" w:hAnsi="Calibri" w:eastAsia="Calibri"/>
          <w:sz w:val="22"/>
        </w:rPr>
        <w:t>.</w:t>
      </w:r>
    </w:p>
    <w:p>
      <w:pPr>
        <w:spacing w:after="160" w:before="0"/>
        <w:jc w:val="both"/>
      </w:pPr>
      <w:r>
        <w:rPr>
          <w:rFonts w:ascii="Calibri" w:hAnsi="Calibri" w:eastAsia="Calibri"/>
          <w:sz w:val="22"/>
        </w:rPr>
        <w:t xml:space="preserve">L’assemblée générale réunie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a approuvé les comptes définitifs de liquidation, donné quitus au liquidateur, </w:t>
      </w:r>
      <w:r>
        <w:rPr>
          <w:rFonts w:ascii="Calibri" w:hAnsi="Calibri" w:eastAsia="Calibri"/>
          <w:sz w:val="22"/>
          <w:highlight w:val="yellow"/>
        </w:rPr>
        <w:t>[Prénom usuel NOM]</w:t>
      </w:r>
      <w:r>
        <w:rPr>
          <w:rFonts w:ascii="Calibri" w:hAnsi="Calibri" w:eastAsia="Calibri"/>
          <w:sz w:val="22"/>
        </w:rPr>
        <w:t xml:space="preserve">, demeurant </w:t>
      </w:r>
      <w:r>
        <w:rPr>
          <w:rFonts w:ascii="Calibri" w:hAnsi="Calibri" w:eastAsia="Calibri"/>
          <w:sz w:val="22"/>
          <w:highlight w:val="yellow"/>
        </w:rPr>
        <w:t>[domicile]</w:t>
      </w:r>
      <w:r>
        <w:rPr>
          <w:rFonts w:ascii="Calibri" w:hAnsi="Calibri" w:eastAsia="Calibri"/>
          <w:sz w:val="22"/>
        </w:rPr>
        <w:t>, l’a déchargé de son mandat et a constaté la clôture de la liquidation.</w:t>
      </w:r>
    </w:p>
    <w:p>
      <w:pPr>
        <w:spacing w:after="160" w:before="0"/>
        <w:jc w:val="both"/>
      </w:pPr>
      <w:r>
        <w:rPr>
          <w:rFonts w:ascii="Calibri" w:hAnsi="Calibri" w:eastAsia="Calibri"/>
          <w:sz w:val="22"/>
        </w:rPr>
        <w:t xml:space="preserve">Les comptes du liquidateur sont déposés au greffe </w:t>
      </w:r>
      <w:r>
        <w:rPr>
          <w:rFonts w:ascii="Calibri" w:hAnsi="Calibri" w:eastAsia="Calibri"/>
          <w:sz w:val="22"/>
          <w:highlight w:val="yellow"/>
        </w:rPr>
        <w:t>[du tribunal qui tient le registre de la société]</w:t>
      </w:r>
      <w:r>
        <w:rPr>
          <w:rFonts w:ascii="Calibri" w:hAnsi="Calibri" w:eastAsia="Calibri"/>
          <w:sz w:val="22"/>
        </w:rPr>
        <w:t xml:space="preserve"> de </w:t>
      </w:r>
      <w:r>
        <w:rPr>
          <w:rFonts w:ascii="Calibri" w:hAnsi="Calibri" w:eastAsia="Calibri"/>
          <w:sz w:val="22"/>
          <w:highlight w:val="yellow"/>
        </w:rPr>
        <w:t>[ville]</w:t>
      </w:r>
      <w:r>
        <w:rPr>
          <w:rFonts w:ascii="Calibri" w:hAnsi="Calibri" w:eastAsia="Calibri"/>
          <w:sz w:val="22"/>
        </w:rPr>
        <w:t>.</w:t>
      </w:r>
    </w:p>
    <w:p>
      <w:pPr>
        <w:spacing w:after="200" w:before="0"/>
        <w:jc w:val="both"/>
      </w:pPr>
      <w:r>
        <w:rPr>
          <w:rFonts w:ascii="Calibri" w:hAnsi="Calibri" w:eastAsia="Calibri"/>
          <w:sz w:val="22"/>
        </w:rPr>
        <w:t>Pour avis, le liquidateur.</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Les associés sont convoqués en fin de liquidation pour statuer sur le compte définitif, le quitus du liquidateur, la décharge de son mandat et constater la clôture (C. com., art. L. 237-9). Si l’assemblée ne peut délibérer ou refuse d’approuver les comptes, le tribunal statue à la demande du liquidateur ou de tout intéressé (C. com., art. L. 237-10).</w:t>
      </w:r>
    </w:p>
    <w:p>
      <w:pPr>
        <w:spacing w:after="100" w:before="0"/>
        <w:jc w:val="both"/>
      </w:pPr>
      <w:r>
        <w:rPr>
          <w:rFonts w:ascii="Calibri" w:hAnsi="Calibri" w:eastAsia="Calibri"/>
          <w:color w:val="374151"/>
          <w:sz w:val="20"/>
        </w:rPr>
        <w:t>• Convocation — SARL : le liquidateur convoque les associés quinze jours au moins avant la réunion, par lettre recommandée indiquant l’ordre du jour, ou par voie électronique pour ceux qui ont donné leur accord (C. com., art. R. 223-20) ; le texte des résolutions et son rapport leur sont adressés quinze jours au moins avant l’assemblée et tenus à leur disposition au siège social pendant ce délai (C. com., art. R. 223-19 ; ce texte vise le rapport des gérants : en liquidation, appliquez-le par prudence au rapport du liquidateur, qui représente la société, C. com., art. L. 237-24). Toute assemblée irrégulièrement convoquée peut être annulée ; l’action en nullité n’est toutefois pas recevable lorsque tous les associés étaient présents ou représentés (C. com., art. L. 223-27, dernier al.). SAS : suivez les modalités de convocation et d’information prévues par les statuts.</w:t>
      </w:r>
    </w:p>
    <w:p>
      <w:pPr>
        <w:spacing w:after="100" w:before="0"/>
        <w:jc w:val="both"/>
      </w:pPr>
      <w:r>
        <w:rPr>
          <w:rFonts w:ascii="Calibri" w:hAnsi="Calibri" w:eastAsia="Calibri"/>
          <w:color w:val="374151"/>
          <w:sz w:val="20"/>
        </w:rPr>
        <w:t>• Majorité : le code ne fixe pas de majorité propre à l’assemblée de clôture. SARL : appliquez les statuts et, à défaut de clause, la règle de l’article L. 223-29 du code de commerce (décision adoptée par un ou plusieurs associés représentant plus de la moitié des parts sociales ; à défaut, et sauf stipulation contraire des statuts, seconde convocation et majorité des votes émis, quel que soit le nombre des votants). SAS : appliquez la clause des statuts. Dans le doute, recherchez l’accord de tous les associés. Indiquez dans chaque résolution la majorité effectivement obtenue. Pour les décisions annuelles en cours de liquidation, l’article L. 237-27 retient la majorité des associés en capital dans la SARL et l’unanimité, sauf clause contraire, dans la SAS ; les associés liquidateurs peuvent y prendre part au vote.</w:t>
      </w:r>
    </w:p>
    <w:p>
      <w:pPr>
        <w:spacing w:after="100" w:before="0"/>
        <w:jc w:val="both"/>
      </w:pPr>
      <w:r>
        <w:rPr>
          <w:rFonts w:ascii="Calibri" w:hAnsi="Calibri" w:eastAsia="Calibri"/>
          <w:color w:val="374151"/>
          <w:sz w:val="20"/>
        </w:rPr>
        <w:t>• Ne clôturez jamais une liquidation amiable tant qu’une dette reste impayée : si l’actif est insuffisant pour payer les créanciers, la société en cessation des paiements doit demander l’ouverture d’une procédure collective (C. com., art. L. 631-4 : quarante-cinq jours, sauf conciliation). L’option B ci-dessus suppose que tout le passif a été réglé.</w:t>
      </w:r>
    </w:p>
    <w:p>
      <w:pPr>
        <w:spacing w:after="100" w:before="0"/>
        <w:jc w:val="both"/>
      </w:pPr>
      <w:r>
        <w:rPr>
          <w:rFonts w:ascii="Calibri" w:hAnsi="Calibri" w:eastAsia="Calibri"/>
          <w:color w:val="374151"/>
          <w:sz w:val="20"/>
        </w:rPr>
        <w:t>• Partage : à défaut de clause contraire, les capitaux propres restant après remboursement du nominal se partagent dans la proportion de la participation au capital (C. com., art. L. 237-29). L’acte constatant un partage doit être enregistré dans le mois (CGI, art. 635, 1, 7°) ; le partage entre coassociés supporte un droit de 2,50 % (CGI, art. 746).</w:t>
      </w:r>
    </w:p>
    <w:p>
      <w:pPr>
        <w:spacing w:after="100" w:before="0"/>
        <w:jc w:val="both"/>
      </w:pPr>
      <w:r>
        <w:rPr>
          <w:rFonts w:ascii="Calibri" w:hAnsi="Calibri" w:eastAsia="Calibri"/>
          <w:color w:val="374151"/>
          <w:sz w:val="20"/>
        </w:rPr>
        <w:t>• Impôt sur le revenu : le droit de partage n’est pas la seule charge. Pour les associés personnes physiques, le boni attribué en sus de l’apport peut entrer dans les bases de l’impôt sur le revenu, dans la limite prévue par l’article 161 du code général des impôts ; son traitement dépend du régime fiscal de la société et de la situation de chaque associé. Faites chiffrer cette imposition par votre comptable ou votre avocat avant de fixer la date de clôture.</w:t>
      </w:r>
    </w:p>
    <w:p>
      <w:pPr>
        <w:spacing w:after="100" w:before="0"/>
        <w:jc w:val="both"/>
      </w:pPr>
      <w:r>
        <w:rPr>
          <w:rFonts w:ascii="Calibri" w:hAnsi="Calibri" w:eastAsia="Calibri"/>
          <w:color w:val="374151"/>
          <w:sz w:val="20"/>
        </w:rPr>
        <w:t>• Dépôt au greffe : comptes définitifs, décision des associés, attestation de vigilance prévue à l’article L. 243-15 du code de la sécurité sociale et certificat fiscal prévu à l’article R. 2143-7 du code de la commande publique (C. com., art. R. 237-7). Une société sans salarié demande à l’Urssaf une attestation d’entreprise sans salarié (service-public, F23744).</w:t>
      </w:r>
    </w:p>
    <w:p>
      <w:pPr>
        <w:spacing w:after="100" w:before="0"/>
        <w:jc w:val="both"/>
      </w:pPr>
      <w:r>
        <w:rPr>
          <w:rFonts w:ascii="Calibri" w:hAnsi="Calibri" w:eastAsia="Calibri"/>
          <w:color w:val="374151"/>
          <w:sz w:val="20"/>
        </w:rPr>
        <w:t>• Avis de clôture : forfait 2026 de 111 € HT en métropole (arrêté du 19 novembre 2021 modifié). Radiation : à demander dans le mois de la publication de la clôture (C. com., art. R. 123-75) ; elle intervient sur justification des formalités de dépôt et de publicité (C. com., art. R. 237-9).</w:t>
      </w:r>
    </w:p>
    <w:p>
      <w:pPr>
        <w:spacing w:after="100" w:before="0"/>
        <w:jc w:val="both"/>
      </w:pPr>
      <w:r>
        <w:rPr>
          <w:rFonts w:ascii="Calibri" w:hAnsi="Calibri" w:eastAsia="Calibri"/>
          <w:color w:val="374151"/>
          <w:sz w:val="20"/>
        </w:rPr>
        <w:t>• Fiscalité : selon service-public (F23744), la déclaration de résultat du dernier exercice est due dans les soixante jours de l’approbation des comptes définitifs, avec les dernières déclarations de TVA et, le cas échéant, sociales. Faites-vous accompagner par votre comptable.</w:t>
      </w:r>
    </w:p>
    <w:p>
      <w:pPr>
        <w:spacing w:after="100" w:before="0"/>
        <w:jc w:val="both"/>
      </w:pPr>
      <w:r>
        <w:rPr>
          <w:rFonts w:ascii="Calibri" w:hAnsi="Calibri" w:eastAsia="Calibri"/>
          <w:color w:val="374151"/>
          <w:sz w:val="20"/>
        </w:rPr>
        <w:t>• Après la clôture, les actions contre les associés non liquidateurs se prescrivent par cinq ans à compter de la publication de la dissolution (C. com., art. L. 237-13) ; le liquidateur reste responsable de ses fautes (C. com., art. L. 237-12).</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Conservez l’original signé au siège (registre des décisions ou registre des procès-verbaux).</w:t>
      </w:r>
    </w:p>
    <w:p>
      <w:pPr>
        <w:spacing w:after="100" w:before="0"/>
        <w:jc w:val="both"/>
      </w:pPr>
      <w:r>
        <w:rPr>
          <w:rFonts w:ascii="Calibri" w:hAnsi="Calibri" w:eastAsia="Calibri"/>
          <w:color w:val="374151"/>
          <w:sz w:val="20"/>
        </w:rPr>
        <w:t>• Ce modèle est une base de travail : il ne remplace pas un conseil adapté à la situation de la société. Faites relire l’acte par un avocat avant signature, en particulier si la société a des dettes, des salariés, des biens immobiliers, un litige en cours ou plusieurs associés en désaccord.</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de clôture de liquidation — comptes définitifs, quitus et clôture (SARL / SAS)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