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highlight w:val="yellow"/>
        </w:rPr>
        <w:t>[Société à responsabilité limitée / Société par actions simplifiée]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w:t>
      </w:r>
    </w:p>
    <w:p>
      <w:pPr>
        <w:spacing w:after="280" w:before="0"/>
        <w:jc w:val="center"/>
      </w:pP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p>
    <w:p>
      <w:pPr>
        <w:spacing w:after="40" w:before="0"/>
        <w:jc w:val="center"/>
      </w:pPr>
      <w:r>
        <w:rPr>
          <w:rFonts w:ascii="Calibri" w:hAnsi="Calibri" w:eastAsia="Calibri"/>
          <w:b/>
          <w:sz w:val="24"/>
        </w:rPr>
        <w:t>PROCÈS-VERBAL DES DÉLIBÉRATIONS DE L’ASSEMBLÉE GÉNÉRALE EXTRAORDINAIRE</w:t>
      </w:r>
    </w:p>
    <w:p>
      <w:pPr>
        <w:spacing w:after="40" w:before="0"/>
        <w:jc w:val="center"/>
      </w:pPr>
      <w:r>
        <w:rPr>
          <w:rFonts w:ascii="Calibri" w:hAnsi="Calibri" w:eastAsia="Calibri"/>
          <w:b/>
          <w:sz w:val="22"/>
        </w:rPr>
        <w:t xml:space="preserve">du </w:t>
      </w:r>
      <w:r>
        <w:rPr>
          <w:rFonts w:ascii="Calibri" w:hAnsi="Calibri" w:eastAsia="Calibri"/>
          <w:b/>
          <w:sz w:val="22"/>
          <w:highlight w:val="yellow"/>
        </w:rPr>
        <w:t>[date]</w:t>
      </w:r>
    </w:p>
    <w:p>
      <w:pPr>
        <w:spacing w:after="320" w:before="0"/>
        <w:jc w:val="center"/>
      </w:pPr>
      <w:r>
        <w:rPr>
          <w:rFonts w:ascii="Calibri" w:hAnsi="Calibri" w:eastAsia="Calibri"/>
          <w:b/>
          <w:sz w:val="22"/>
        </w:rPr>
        <w:t>Dissolution anticipée — Nomination du liquidateur</w:t>
      </w:r>
    </w:p>
    <w:p>
      <w:pPr>
        <w:spacing w:after="160" w:before="0"/>
        <w:jc w:val="both"/>
      </w:pPr>
      <w:r>
        <w:rPr>
          <w:rFonts w:ascii="Calibri" w:hAnsi="Calibri" w:eastAsia="Calibri"/>
          <w:sz w:val="22"/>
        </w:rPr>
        <w:t xml:space="preserve">L’an </w:t>
      </w:r>
      <w:r>
        <w:rPr>
          <w:rFonts w:ascii="Calibri" w:hAnsi="Calibri" w:eastAsia="Calibri"/>
          <w:sz w:val="22"/>
          <w:highlight w:val="yellow"/>
        </w:rPr>
        <w:t>[année]</w:t>
      </w:r>
      <w:r>
        <w:rPr>
          <w:rFonts w:ascii="Calibri" w:hAnsi="Calibri" w:eastAsia="Calibri"/>
          <w:sz w:val="22"/>
        </w:rPr>
        <w:t xml:space="preserve">, le </w:t>
      </w:r>
      <w:r>
        <w:rPr>
          <w:rFonts w:ascii="Calibri" w:hAnsi="Calibri" w:eastAsia="Calibri"/>
          <w:sz w:val="22"/>
          <w:highlight w:val="yellow"/>
        </w:rPr>
        <w:t>[jour et mois]</w:t>
      </w:r>
      <w:r>
        <w:rPr>
          <w:rFonts w:ascii="Calibri" w:hAnsi="Calibri" w:eastAsia="Calibri"/>
          <w:sz w:val="22"/>
        </w:rPr>
        <w:t xml:space="preserve">, à </w:t>
      </w:r>
      <w:r>
        <w:rPr>
          <w:rFonts w:ascii="Calibri" w:hAnsi="Calibri" w:eastAsia="Calibri"/>
          <w:sz w:val="22"/>
          <w:highlight w:val="yellow"/>
        </w:rPr>
        <w:t>[heure]</w:t>
      </w:r>
      <w:r>
        <w:rPr>
          <w:rFonts w:ascii="Calibri" w:hAnsi="Calibri" w:eastAsia="Calibri"/>
          <w:sz w:val="22"/>
        </w:rPr>
        <w:t xml:space="preserve">, les associés de la société </w:t>
      </w:r>
      <w:r>
        <w:rPr>
          <w:rFonts w:ascii="Calibri" w:hAnsi="Calibri" w:eastAsia="Calibri"/>
          <w:sz w:val="22"/>
          <w:highlight w:val="yellow"/>
        </w:rPr>
        <w:t>[dénomination]</w:t>
      </w:r>
      <w:r>
        <w:rPr>
          <w:rFonts w:ascii="Calibri" w:hAnsi="Calibri" w:eastAsia="Calibri"/>
          <w:sz w:val="22"/>
        </w:rPr>
        <w:t xml:space="preserve">, </w:t>
      </w:r>
      <w:r>
        <w:rPr>
          <w:rFonts w:ascii="Calibri" w:hAnsi="Calibri" w:eastAsia="Calibri"/>
          <w:sz w:val="22"/>
          <w:highlight w:val="yellow"/>
        </w:rPr>
        <w:t>[société à responsabilité limitée / société par actions simplifiée]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 divisé en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sociales / actions]</w:t>
      </w:r>
      <w:r>
        <w:rPr>
          <w:rFonts w:ascii="Calibri" w:hAnsi="Calibri" w:eastAsia="Calibri"/>
          <w:sz w:val="22"/>
        </w:rPr>
        <w:t xml:space="preserve">, se sont réunis en assemblée générale extraordinaire </w:t>
      </w:r>
      <w:r>
        <w:rPr>
          <w:rFonts w:ascii="Calibri" w:hAnsi="Calibri" w:eastAsia="Calibri"/>
          <w:sz w:val="22"/>
          <w:highlight w:val="yellow"/>
        </w:rPr>
        <w:t>[au siège social / à l’adresse suivante : … / par visioconférence, dans les conditions prévues par les statuts]</w:t>
      </w:r>
      <w:r>
        <w:rPr>
          <w:rFonts w:ascii="Calibri" w:hAnsi="Calibri" w:eastAsia="Calibri"/>
          <w:sz w:val="22"/>
        </w:rPr>
        <w:t xml:space="preserve">, sur convocation </w:t>
      </w:r>
      <w:r>
        <w:rPr>
          <w:rFonts w:ascii="Calibri" w:hAnsi="Calibri" w:eastAsia="Calibri"/>
          <w:sz w:val="22"/>
          <w:highlight w:val="yellow"/>
        </w:rPr>
        <w:t>[SARL : du gérant, par lettre recommandée — ou par voie électronique pour les associés qui l’ont accepté — du …, soit quinze jours au moins avant la réunion (C. com., art. R. 223-20) / SAS : du Président, selon les modalités prévues à l’article … des statuts]</w:t>
      </w:r>
      <w:r>
        <w:rPr>
          <w:rFonts w:ascii="Calibri" w:hAnsi="Calibri" w:eastAsia="Calibri"/>
          <w:sz w:val="22"/>
        </w:rPr>
        <w:t>.</w:t>
      </w:r>
    </w:p>
    <w:p>
      <w:pPr>
        <w:spacing w:after="80" w:before="0"/>
        <w:jc w:val="both"/>
      </w:pPr>
      <w:r>
        <w:rPr>
          <w:rFonts w:ascii="Calibri" w:hAnsi="Calibri" w:eastAsia="Calibri"/>
          <w:sz w:val="22"/>
        </w:rPr>
        <w:t>Sont présents ou représentés :</w:t>
      </w:r>
    </w:p>
    <w:p>
      <w:pPr>
        <w:spacing w:after="40" w:before="0"/>
        <w:jc w:val="both"/>
      </w:pPr>
      <w:r>
        <w:rPr>
          <w:rFonts w:ascii="Calibri" w:hAnsi="Calibri" w:eastAsia="Calibri"/>
          <w:sz w:val="22"/>
        </w:rPr>
        <w:t xml:space="preserve">– </w:t>
      </w:r>
      <w:r>
        <w:rPr>
          <w:rFonts w:ascii="Calibri" w:hAnsi="Calibri" w:eastAsia="Calibri"/>
          <w:sz w:val="22"/>
          <w:highlight w:val="yellow"/>
        </w:rPr>
        <w:t>[Prénom NOM / dénomination de l’associé]</w:t>
      </w:r>
      <w:r>
        <w:rPr>
          <w:rFonts w:ascii="Calibri" w:hAnsi="Calibri" w:eastAsia="Calibri"/>
          <w:sz w:val="22"/>
        </w:rPr>
        <w:t xml:space="preserve"> —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 </w:t>
      </w:r>
      <w:r>
        <w:rPr>
          <w:rFonts w:ascii="Calibri" w:hAnsi="Calibri" w:eastAsia="Calibri"/>
          <w:sz w:val="22"/>
          <w:highlight w:val="yellow"/>
        </w:rPr>
        <w:t>[présent / représenté par … en vertu d’un pouvoir annexé / réputé présent par visioconférence / a voté par correspondance — formulaire annexé (si les statuts admettent ce vote)]</w:t>
      </w:r>
    </w:p>
    <w:p>
      <w:pPr>
        <w:spacing w:after="120" w:before="0"/>
        <w:jc w:val="both"/>
      </w:pPr>
      <w:r>
        <w:rPr>
          <w:rFonts w:ascii="Calibri" w:hAnsi="Calibri" w:eastAsia="Calibri"/>
          <w:sz w:val="22"/>
        </w:rPr>
        <w:t xml:space="preserve">– </w:t>
      </w:r>
      <w:r>
        <w:rPr>
          <w:rFonts w:ascii="Calibri" w:hAnsi="Calibri" w:eastAsia="Calibri"/>
          <w:sz w:val="22"/>
          <w:highlight w:val="yellow"/>
        </w:rPr>
        <w:t>[Prénom NOM / dénomination de l’associé]</w:t>
      </w:r>
      <w:r>
        <w:rPr>
          <w:rFonts w:ascii="Calibri" w:hAnsi="Calibri" w:eastAsia="Calibri"/>
          <w:sz w:val="22"/>
        </w:rPr>
        <w:t xml:space="preserve"> —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 </w:t>
      </w:r>
      <w:r>
        <w:rPr>
          <w:rFonts w:ascii="Calibri" w:hAnsi="Calibri" w:eastAsia="Calibri"/>
          <w:sz w:val="22"/>
          <w:highlight w:val="yellow"/>
        </w:rPr>
        <w:t>[présent / représenté par …]</w:t>
      </w:r>
    </w:p>
    <w:p>
      <w:pPr>
        <w:spacing w:after="160" w:before="0"/>
        <w:jc w:val="both"/>
      </w:pPr>
      <w:r>
        <w:rPr>
          <w:rFonts w:ascii="Calibri" w:hAnsi="Calibri" w:eastAsia="Calibri"/>
          <w:sz w:val="22"/>
        </w:rPr>
        <w:t xml:space="preserve">Soit, au total,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présentes ou représentées sur les </w:t>
      </w:r>
      <w:r>
        <w:rPr>
          <w:rFonts w:ascii="Calibri" w:hAnsi="Calibri" w:eastAsia="Calibri"/>
          <w:sz w:val="22"/>
          <w:highlight w:val="yellow"/>
        </w:rPr>
        <w:t>[nombre]</w:t>
      </w:r>
      <w:r>
        <w:rPr>
          <w:rFonts w:ascii="Calibri" w:hAnsi="Calibri" w:eastAsia="Calibri"/>
          <w:sz w:val="22"/>
        </w:rPr>
        <w:t xml:space="preserve"> composant le capital social </w:t>
      </w:r>
      <w:r>
        <w:rPr>
          <w:rFonts w:ascii="Calibri" w:hAnsi="Calibri" w:eastAsia="Calibri"/>
          <w:sz w:val="22"/>
          <w:highlight w:val="yellow"/>
        </w:rPr>
        <w:t>[le cas échéant : dont … ayant fait l’objet d’un vote par correspondance]</w:t>
      </w:r>
      <w:r>
        <w:rPr>
          <w:rFonts w:ascii="Calibri" w:hAnsi="Calibri" w:eastAsia="Calibri"/>
          <w:sz w:val="22"/>
        </w:rPr>
        <w:t>.</w:t>
      </w:r>
    </w:p>
    <w:p>
      <w:pPr>
        <w:spacing w:after="160" w:before="0"/>
        <w:jc w:val="both"/>
      </w:pPr>
      <w:r>
        <w:rPr>
          <w:rFonts w:ascii="Calibri" w:hAnsi="Calibri" w:eastAsia="Calibri"/>
          <w:sz w:val="22"/>
          <w:highlight w:val="yellow"/>
        </w:rPr>
        <w:t>[Le cas échéant :]</w:t>
      </w:r>
      <w:r>
        <w:rPr>
          <w:rFonts w:ascii="Calibri" w:hAnsi="Calibri" w:eastAsia="Calibri"/>
          <w:sz w:val="22"/>
        </w:rPr>
        <w:t xml:space="preserve"> </w:t>
      </w:r>
      <w:r>
        <w:rPr>
          <w:rFonts w:ascii="Calibri" w:hAnsi="Calibri" w:eastAsia="Calibri"/>
          <w:sz w:val="22"/>
          <w:highlight w:val="yellow"/>
        </w:rPr>
        <w:t>[Prénom NOM / cabinet]</w:t>
      </w:r>
      <w:r>
        <w:rPr>
          <w:rFonts w:ascii="Calibri" w:hAnsi="Calibri" w:eastAsia="Calibri"/>
          <w:sz w:val="22"/>
        </w:rPr>
        <w:t xml:space="preserve">, commissaire aux comptes, régulièrement convoqué, est </w:t>
      </w:r>
      <w:r>
        <w:rPr>
          <w:rFonts w:ascii="Calibri" w:hAnsi="Calibri" w:eastAsia="Calibri"/>
          <w:sz w:val="22"/>
          <w:highlight w:val="yellow"/>
        </w:rPr>
        <w:t>[présent / absent et excusé]</w:t>
      </w:r>
      <w:r>
        <w:rPr>
          <w:rFonts w:ascii="Calibri" w:hAnsi="Calibri" w:eastAsia="Calibri"/>
          <w:sz w:val="22"/>
        </w:rPr>
        <w:t>.</w:t>
      </w:r>
    </w:p>
    <w:p>
      <w:pPr>
        <w:spacing w:after="160" w:before="0"/>
        <w:jc w:val="both"/>
      </w:pPr>
      <w:r>
        <w:rPr>
          <w:rFonts w:ascii="Calibri" w:hAnsi="Calibri" w:eastAsia="Calibri"/>
          <w:sz w:val="22"/>
        </w:rPr>
        <w:t xml:space="preserve">L’assemblée est présidée par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[SARL : le gérant ou l’un des gérants — si aucun gérant n’est associé, l’associé présent et acceptant qui possède ou représente le plus grand nombre de parts (C. com., art. R. 223-23) / SAS : la personne désignée par les statuts]</w:t>
      </w:r>
      <w:r>
        <w:rPr>
          <w:rFonts w:ascii="Calibri" w:hAnsi="Calibri" w:eastAsia="Calibri"/>
          <w:sz w:val="22"/>
        </w:rPr>
        <w:t xml:space="preserve">. </w:t>
      </w:r>
      <w:r>
        <w:rPr>
          <w:rFonts w:ascii="Calibri" w:hAnsi="Calibri" w:eastAsia="Calibri"/>
          <w:sz w:val="22"/>
          <w:highlight w:val="yellow"/>
        </w:rPr>
        <w:t>[Prénom NOM]</w:t>
      </w:r>
      <w:r>
        <w:rPr>
          <w:rFonts w:ascii="Calibri" w:hAnsi="Calibri" w:eastAsia="Calibri"/>
          <w:sz w:val="22"/>
        </w:rPr>
        <w:t xml:space="preserve"> est désigné(e) en qualité de secrétaire de séance.</w:t>
      </w:r>
    </w:p>
    <w:p>
      <w:pPr>
        <w:spacing w:after="160" w:before="0"/>
        <w:jc w:val="both"/>
      </w:pPr>
      <w:r>
        <w:rPr>
          <w:rFonts w:ascii="Calibri" w:hAnsi="Calibri" w:eastAsia="Calibri"/>
          <w:sz w:val="22"/>
        </w:rPr>
        <w:t xml:space="preserve">Le président de séance constate que l’assemblée, réunie sur </w:t>
      </w:r>
      <w:r>
        <w:rPr>
          <w:rFonts w:ascii="Calibri" w:hAnsi="Calibri" w:eastAsia="Calibri"/>
          <w:sz w:val="22"/>
          <w:highlight w:val="yellow"/>
        </w:rPr>
        <w:t>[première / deuxième]</w:t>
      </w:r>
      <w:r>
        <w:rPr>
          <w:rFonts w:ascii="Calibri" w:hAnsi="Calibri" w:eastAsia="Calibri"/>
          <w:sz w:val="22"/>
        </w:rPr>
        <w:t xml:space="preserve"> convocation, réunit le quorum </w:t>
      </w:r>
      <w:r>
        <w:rPr>
          <w:rFonts w:ascii="Calibri" w:hAnsi="Calibri" w:eastAsia="Calibri"/>
          <w:sz w:val="22"/>
          <w:highlight w:val="yellow"/>
        </w:rPr>
        <w:t>[requis par la loi et les statuts pour les décisions modifiant les statuts / prévu à l’article … des statuts]</w:t>
      </w:r>
      <w:r>
        <w:rPr>
          <w:rFonts w:ascii="Calibri" w:hAnsi="Calibri" w:eastAsia="Calibri"/>
          <w:sz w:val="22"/>
        </w:rPr>
        <w:t xml:space="preserve"> et peut valablement délibérer.</w:t>
      </w:r>
    </w:p>
    <w:p>
      <w:pPr>
        <w:spacing w:after="160" w:before="0"/>
        <w:jc w:val="both"/>
      </w:pPr>
      <w:r>
        <w:rPr>
          <w:rFonts w:ascii="Calibri" w:hAnsi="Calibri" w:eastAsia="Calibri"/>
          <w:sz w:val="22"/>
          <w:highlight w:val="yellow"/>
        </w:rPr>
        <w:t>[Si des associés participent par visioconférence ou par un moyen de télécommunication :]</w:t>
      </w:r>
      <w:r>
        <w:rPr>
          <w:rFonts w:ascii="Calibri" w:hAnsi="Calibri" w:eastAsia="Calibri"/>
          <w:sz w:val="22"/>
        </w:rPr>
        <w:t xml:space="preserve"> </w:t>
      </w:r>
      <w:r>
        <w:rPr>
          <w:rFonts w:ascii="Calibri" w:hAnsi="Calibri" w:eastAsia="Calibri"/>
          <w:sz w:val="22"/>
          <w:highlight w:val="yellow"/>
        </w:rPr>
        <w:t>[aucun incident technique relatif à la visioconférence ou à la télécommunication n’a perturbé le déroulement de l’assemblée / incident survenu et ses effets sur le déroulement de l’assemblée : …]</w:t>
      </w:r>
      <w:r>
        <w:rPr>
          <w:rFonts w:ascii="Calibri" w:hAnsi="Calibri" w:eastAsia="Calibri"/>
          <w:sz w:val="22"/>
        </w:rPr>
        <w:t xml:space="preserve"> (C. com., art. R. 223-24).</w:t>
      </w:r>
    </w:p>
    <w:p>
      <w:pPr>
        <w:spacing w:after="80" w:before="0"/>
        <w:jc w:val="both"/>
      </w:pPr>
      <w:r>
        <w:rPr>
          <w:rFonts w:ascii="Calibri" w:hAnsi="Calibri" w:eastAsia="Calibri"/>
          <w:sz w:val="22"/>
        </w:rPr>
        <w:t>Il dépose sur le bureau et met à la disposition des associés :</w:t>
      </w:r>
    </w:p>
    <w:p>
      <w:pPr>
        <w:spacing w:after="40" w:before="0"/>
        <w:jc w:val="both"/>
      </w:pPr>
      <w:r>
        <w:rPr>
          <w:rFonts w:ascii="Calibri" w:hAnsi="Calibri" w:eastAsia="Calibri"/>
          <w:sz w:val="22"/>
        </w:rPr>
        <w:t xml:space="preserve">– </w:t>
      </w:r>
      <w:r>
        <w:rPr>
          <w:rFonts w:ascii="Calibri" w:hAnsi="Calibri" w:eastAsia="Calibri"/>
          <w:sz w:val="22"/>
        </w:rPr>
        <w:t xml:space="preserve">la copie des lettres de convocation </w:t>
      </w:r>
      <w:r>
        <w:rPr>
          <w:rFonts w:ascii="Calibri" w:hAnsi="Calibri" w:eastAsia="Calibri"/>
          <w:sz w:val="22"/>
          <w:highlight w:val="yellow"/>
        </w:rPr>
        <w:t>[et les justificatifs d’envoi]</w:t>
      </w:r>
      <w:r>
        <w:rPr>
          <w:rFonts w:ascii="Calibri" w:hAnsi="Calibri" w:eastAsia="Calibri"/>
          <w:sz w:val="22"/>
        </w:rPr>
        <w:t xml:space="preserve"> ;</w:t>
      </w:r>
    </w:p>
    <w:p>
      <w:pPr>
        <w:spacing w:after="40" w:before="0"/>
        <w:jc w:val="both"/>
      </w:pPr>
      <w:r>
        <w:rPr>
          <w:rFonts w:ascii="Calibri" w:hAnsi="Calibri" w:eastAsia="Calibri"/>
          <w:sz w:val="22"/>
        </w:rPr>
        <w:t xml:space="preserve">– </w:t>
      </w:r>
      <w:r>
        <w:rPr>
          <w:rFonts w:ascii="Calibri" w:hAnsi="Calibri" w:eastAsia="Calibri"/>
          <w:sz w:val="22"/>
        </w:rPr>
        <w:t xml:space="preserve">les pouvoirs des associés représentés </w:t>
      </w:r>
      <w:r>
        <w:rPr>
          <w:rFonts w:ascii="Calibri" w:hAnsi="Calibri" w:eastAsia="Calibri"/>
          <w:sz w:val="22"/>
          <w:highlight w:val="yellow"/>
        </w:rPr>
        <w:t>[et la feuille de présence]</w:t>
      </w:r>
      <w:r>
        <w:rPr>
          <w:rFonts w:ascii="Calibri" w:hAnsi="Calibri" w:eastAsia="Calibri"/>
          <w:sz w:val="22"/>
        </w:rPr>
        <w:t xml:space="preserve"> ;</w:t>
      </w:r>
    </w:p>
    <w:p>
      <w:pPr>
        <w:spacing w:after="40" w:before="0"/>
        <w:jc w:val="both"/>
      </w:pPr>
      <w:r>
        <w:rPr>
          <w:rFonts w:ascii="Calibri" w:hAnsi="Calibri" w:eastAsia="Calibri"/>
          <w:sz w:val="22"/>
        </w:rPr>
        <w:t xml:space="preserve">– </w:t>
      </w:r>
      <w:r>
        <w:rPr>
          <w:rFonts w:ascii="Calibri" w:hAnsi="Calibri" w:eastAsia="Calibri"/>
          <w:sz w:val="22"/>
        </w:rPr>
        <w:t xml:space="preserve">le rapport </w:t>
      </w:r>
      <w:r>
        <w:rPr>
          <w:rFonts w:ascii="Calibri" w:hAnsi="Calibri" w:eastAsia="Calibri"/>
          <w:sz w:val="22"/>
          <w:highlight w:val="yellow"/>
        </w:rPr>
        <w:t>[du gérant / du Président]</w:t>
      </w:r>
      <w:r>
        <w:rPr>
          <w:rFonts w:ascii="Calibri" w:hAnsi="Calibri" w:eastAsia="Calibri"/>
          <w:sz w:val="22"/>
        </w:rPr>
        <w:t xml:space="preserve"> exposant les motifs de la dissolution proposée ;</w:t>
      </w:r>
    </w:p>
    <w:p>
      <w:pPr>
        <w:spacing w:after="40" w:before="0"/>
        <w:jc w:val="both"/>
      </w:pPr>
      <w:r>
        <w:rPr>
          <w:rFonts w:ascii="Calibri" w:hAnsi="Calibri" w:eastAsia="Calibri"/>
          <w:sz w:val="22"/>
        </w:rPr>
        <w:t xml:space="preserve">– </w:t>
      </w:r>
      <w:r>
        <w:rPr>
          <w:rFonts w:ascii="Calibri" w:hAnsi="Calibri" w:eastAsia="Calibri"/>
          <w:sz w:val="22"/>
          <w:highlight w:val="yellow"/>
        </w:rPr>
        <w:t>[une situation de l’actif et du passif de la société arrêtée au …]</w:t>
      </w:r>
      <w:r>
        <w:rPr>
          <w:rFonts w:ascii="Calibri" w:hAnsi="Calibri" w:eastAsia="Calibri"/>
          <w:sz w:val="22"/>
        </w:rPr>
        <w:t xml:space="preserve"> ;</w:t>
      </w:r>
    </w:p>
    <w:p>
      <w:pPr>
        <w:spacing w:after="40" w:before="0"/>
        <w:jc w:val="both"/>
      </w:pPr>
      <w:r>
        <w:rPr>
          <w:rFonts w:ascii="Calibri" w:hAnsi="Calibri" w:eastAsia="Calibri"/>
          <w:sz w:val="22"/>
        </w:rPr>
        <w:t xml:space="preserve">– </w:t>
      </w:r>
      <w:r>
        <w:rPr>
          <w:rFonts w:ascii="Calibri" w:hAnsi="Calibri" w:eastAsia="Calibri"/>
          <w:sz w:val="22"/>
          <w:highlight w:val="yellow"/>
        </w:rPr>
        <w:t>[le rapport du commissaire aux comptes, s’il en existe un]</w:t>
      </w:r>
      <w:r>
        <w:rPr>
          <w:rFonts w:ascii="Calibri" w:hAnsi="Calibri" w:eastAsia="Calibri"/>
          <w:sz w:val="22"/>
        </w:rPr>
        <w:t xml:space="preserve"> ;</w:t>
      </w:r>
    </w:p>
    <w:p>
      <w:pPr>
        <w:spacing w:after="120" w:before="0"/>
        <w:jc w:val="both"/>
      </w:pPr>
      <w:r>
        <w:rPr>
          <w:rFonts w:ascii="Calibri" w:hAnsi="Calibri" w:eastAsia="Calibri"/>
          <w:sz w:val="22"/>
        </w:rPr>
        <w:t xml:space="preserve">– </w:t>
      </w:r>
      <w:r>
        <w:rPr>
          <w:rFonts w:ascii="Calibri" w:hAnsi="Calibri" w:eastAsia="Calibri"/>
          <w:sz w:val="22"/>
        </w:rPr>
        <w:t>le texte des projets de résolutions et un exemplaire des statuts.</w:t>
      </w:r>
    </w:p>
    <w:p>
      <w:pPr>
        <w:spacing w:after="80" w:before="0"/>
        <w:jc w:val="both"/>
      </w:pPr>
      <w:r>
        <w:rPr>
          <w:rFonts w:ascii="Calibri" w:hAnsi="Calibri" w:eastAsia="Calibri"/>
          <w:sz w:val="22"/>
        </w:rPr>
        <w:t xml:space="preserve">Il rappelle que </w:t>
      </w:r>
      <w:r>
        <w:rPr>
          <w:rFonts w:ascii="Calibri" w:hAnsi="Calibri" w:eastAsia="Calibri"/>
          <w:sz w:val="22"/>
          <w:highlight w:val="yellow"/>
        </w:rPr>
        <w:t>[SARL : le texte des résolutions proposées, le rapport du gérant et, le cas échéant, celui du commissaire aux comptes ont été adressés aux associés quinze jours au moins avant l’assemblée et tenus à leur disposition au siège social pendant ce délai (C. com., art. R. 223-19) / SAS : ces documents ont été communiqués aux associés dans les conditions prévues par les statuts]</w:t>
      </w:r>
      <w:r>
        <w:rPr>
          <w:rFonts w:ascii="Calibri" w:hAnsi="Calibri" w:eastAsia="Calibri"/>
          <w:sz w:val="22"/>
        </w:rPr>
        <w:t>, puis que l’assemblée est appelée à délibérer sur l’ordre du jour suivant :</w:t>
      </w:r>
    </w:p>
    <w:p>
      <w:pPr>
        <w:spacing w:after="40" w:before="0"/>
        <w:jc w:val="both"/>
      </w:pPr>
      <w:r>
        <w:rPr>
          <w:rFonts w:ascii="Calibri" w:hAnsi="Calibri" w:eastAsia="Calibri"/>
          <w:sz w:val="22"/>
        </w:rPr>
        <w:t>1. Dissolution anticipée de la société et mise en liquidation amiable</w:t>
      </w:r>
    </w:p>
    <w:p>
      <w:pPr>
        <w:spacing w:after="40" w:before="0"/>
        <w:jc w:val="both"/>
      </w:pPr>
      <w:r>
        <w:rPr>
          <w:rFonts w:ascii="Calibri" w:hAnsi="Calibri" w:eastAsia="Calibri"/>
          <w:sz w:val="22"/>
        </w:rPr>
        <w:t>2. Nomination du liquidateur, fixation de ses pouvoirs et de sa rémunération</w:t>
      </w:r>
    </w:p>
    <w:p>
      <w:pPr>
        <w:spacing w:after="40" w:before="0"/>
        <w:jc w:val="both"/>
      </w:pPr>
      <w:r>
        <w:rPr>
          <w:rFonts w:ascii="Calibri" w:hAnsi="Calibri" w:eastAsia="Calibri"/>
          <w:sz w:val="22"/>
        </w:rPr>
        <w:t>3. Fixation du siège de la liquidation</w:t>
      </w:r>
    </w:p>
    <w:p>
      <w:pPr>
        <w:spacing w:after="40" w:before="0"/>
        <w:jc w:val="both"/>
      </w:pPr>
      <w:r>
        <w:rPr>
          <w:rFonts w:ascii="Calibri" w:hAnsi="Calibri" w:eastAsia="Calibri"/>
          <w:sz w:val="22"/>
        </w:rPr>
        <w:t>4. Pouvoirs pour l’accomplissement des formalités</w:t>
      </w:r>
    </w:p>
    <w:p>
      <w:pPr>
        <w:spacing w:after="120"/>
      </w:pPr>
    </w:p>
    <w:p>
      <w:pPr>
        <w:spacing w:after="160" w:before="0"/>
        <w:jc w:val="both"/>
      </w:pPr>
      <w:r>
        <w:rPr>
          <w:rFonts w:ascii="Calibri" w:hAnsi="Calibri" w:eastAsia="Calibri"/>
          <w:sz w:val="22"/>
        </w:rPr>
        <w:t xml:space="preserve">Lecture est donnée du rapport </w:t>
      </w:r>
      <w:r>
        <w:rPr>
          <w:rFonts w:ascii="Calibri" w:hAnsi="Calibri" w:eastAsia="Calibri"/>
          <w:sz w:val="22"/>
          <w:highlight w:val="yellow"/>
        </w:rPr>
        <w:t>[du gérant / du Président]</w:t>
      </w:r>
      <w:r>
        <w:rPr>
          <w:rFonts w:ascii="Calibri" w:hAnsi="Calibri" w:eastAsia="Calibri"/>
          <w:sz w:val="22"/>
        </w:rPr>
        <w:t xml:space="preserve">. </w:t>
      </w:r>
      <w:r>
        <w:rPr>
          <w:rFonts w:ascii="Calibri" w:hAnsi="Calibri" w:eastAsia="Calibri"/>
          <w:b/>
          <w:sz w:val="22"/>
        </w:rPr>
        <w:t xml:space="preserve">Résumé des débats : </w:t>
      </w:r>
      <w:r>
        <w:rPr>
          <w:rFonts w:ascii="Calibri" w:hAnsi="Calibri" w:eastAsia="Calibri"/>
          <w:sz w:val="22"/>
          <w:highlight w:val="yellow"/>
        </w:rPr>
        <w:t>[motifs exposés : cessation de l’activité, départ à la retraite, absence de perspectives… ; questions posées et réponses apportées]</w:t>
      </w:r>
      <w:r>
        <w:rPr>
          <w:rFonts w:ascii="Calibri" w:hAnsi="Calibri" w:eastAsia="Calibri"/>
          <w:sz w:val="22"/>
        </w:rPr>
        <w:t>.</w:t>
      </w:r>
    </w:p>
    <w:p>
      <w:pPr>
        <w:spacing w:after="240" w:before="0"/>
        <w:jc w:val="both"/>
      </w:pPr>
      <w:r>
        <w:rPr>
          <w:rFonts w:ascii="Calibri" w:hAnsi="Calibri" w:eastAsia="Calibri"/>
          <w:sz w:val="22"/>
        </w:rPr>
        <w:t>Personne ne demandant plus la parole, le président de séance met successivement aux voix les résolutions suivantes.</w:t>
      </w:r>
    </w:p>
    <w:p>
      <w:pPr>
        <w:spacing w:after="120" w:before="0"/>
      </w:pPr>
      <w:r>
        <w:rPr>
          <w:rFonts w:ascii="Calibri" w:hAnsi="Calibri" w:eastAsia="Calibri"/>
          <w:b/>
          <w:sz w:val="22"/>
        </w:rPr>
        <w:t>PREMIÈRE RÉSOLUTION — Dissolution anticipée et mise en liquidation amiable</w:t>
      </w:r>
    </w:p>
    <w:p>
      <w:pPr>
        <w:spacing w:after="160" w:before="0"/>
        <w:jc w:val="both"/>
      </w:pPr>
      <w:r>
        <w:rPr>
          <w:rFonts w:ascii="Calibri" w:hAnsi="Calibri" w:eastAsia="Calibri"/>
          <w:sz w:val="22"/>
        </w:rPr>
        <w:t xml:space="preserve">L’assemblée générale, statuant aux conditions de quorum et de majorité </w:t>
      </w:r>
      <w:r>
        <w:rPr>
          <w:rFonts w:ascii="Calibri" w:hAnsi="Calibri" w:eastAsia="Calibri"/>
          <w:sz w:val="22"/>
          <w:highlight w:val="yellow"/>
        </w:rPr>
        <w:t>[requises pour la modification des statuts / prévues à l’article … des statuts]</w:t>
      </w:r>
      <w:r>
        <w:rPr>
          <w:rFonts w:ascii="Calibri" w:hAnsi="Calibri" w:eastAsia="Calibri"/>
          <w:sz w:val="22"/>
        </w:rPr>
        <w:t xml:space="preserve">, après avoir entendu la lecture du rapport </w:t>
      </w:r>
      <w:r>
        <w:rPr>
          <w:rFonts w:ascii="Calibri" w:hAnsi="Calibri" w:eastAsia="Calibri"/>
          <w:sz w:val="22"/>
          <w:highlight w:val="yellow"/>
        </w:rPr>
        <w:t>[du gérant / du Président]</w:t>
      </w:r>
      <w:r>
        <w:rPr>
          <w:rFonts w:ascii="Calibri" w:hAnsi="Calibri" w:eastAsia="Calibri"/>
          <w:sz w:val="22"/>
        </w:rPr>
        <w:t xml:space="preserve">, décide la dissolution anticipée de la société à compter du </w:t>
      </w:r>
      <w:r>
        <w:rPr>
          <w:rFonts w:ascii="Calibri" w:hAnsi="Calibri" w:eastAsia="Calibri"/>
          <w:sz w:val="22"/>
          <w:highlight w:val="yellow"/>
        </w:rPr>
        <w:t>[date — en principe ce jour]</w:t>
      </w:r>
      <w:r>
        <w:rPr>
          <w:rFonts w:ascii="Calibri" w:hAnsi="Calibri" w:eastAsia="Calibri"/>
          <w:sz w:val="22"/>
        </w:rPr>
        <w:t xml:space="preserve"> et sa mise en liquidation amiable.</w:t>
      </w:r>
    </w:p>
    <w:p>
      <w:pPr>
        <w:spacing w:after="160" w:before="0"/>
        <w:jc w:val="both"/>
      </w:pPr>
      <w:r>
        <w:rPr>
          <w:rFonts w:ascii="Calibri" w:hAnsi="Calibri" w:eastAsia="Calibri"/>
          <w:sz w:val="22"/>
        </w:rPr>
        <w:t xml:space="preserve">La liquidation sera conduite </w:t>
      </w:r>
      <w:r>
        <w:rPr>
          <w:rFonts w:ascii="Calibri" w:hAnsi="Calibri" w:eastAsia="Calibri"/>
          <w:sz w:val="22"/>
          <w:highlight w:val="yellow"/>
        </w:rPr>
        <w:t>[conformément aux articles … des statuts / conformément aux articles L. 237-14 et suivants du code de commerce, les statuts ne réglant pas les modalités de la liquidation]</w:t>
      </w:r>
      <w:r>
        <w:rPr>
          <w:rFonts w:ascii="Calibri" w:hAnsi="Calibri" w:eastAsia="Calibri"/>
          <w:sz w:val="22"/>
        </w:rPr>
        <w:t>.</w:t>
      </w:r>
    </w:p>
    <w:p>
      <w:pPr>
        <w:spacing w:after="160" w:before="0"/>
        <w:jc w:val="both"/>
      </w:pPr>
      <w:r>
        <w:rPr>
          <w:rFonts w:ascii="Calibri" w:hAnsi="Calibri" w:eastAsia="Calibri"/>
          <w:sz w:val="22"/>
        </w:rPr>
        <w:t>L’assemblée prend acte que la personnalité morale de la société subsiste pour les besoins de la liquidation jusqu’à la clôture de celle-ci, que sa dénomination sera désormais suivie de la mention « société en liquidation » (C. com., art. L. 237-2) et que cette mention ainsi que le nom du liquidateur devront figurer sur tous les actes et documents émanant de la société et destinés aux tiers (C. com., art. R. 237-1).</w:t>
      </w:r>
    </w:p>
    <w:p>
      <w:pPr>
        <w:spacing w:after="160" w:before="0"/>
        <w:jc w:val="both"/>
      </w:pPr>
      <w:r>
        <w:rPr>
          <w:rFonts w:ascii="Calibri" w:hAnsi="Calibri" w:eastAsia="Calibri"/>
          <w:sz w:val="22"/>
        </w:rPr>
        <w:t xml:space="preserve">Les fonctions </w:t>
      </w:r>
      <w:r>
        <w:rPr>
          <w:rFonts w:ascii="Calibri" w:hAnsi="Calibri" w:eastAsia="Calibri"/>
          <w:sz w:val="22"/>
          <w:highlight w:val="yellow"/>
        </w:rPr>
        <w:t>[du gérant / du Président et, le cas échéant, des directeurs généraux]</w:t>
      </w:r>
      <w:r>
        <w:rPr>
          <w:rFonts w:ascii="Calibri" w:hAnsi="Calibri" w:eastAsia="Calibri"/>
          <w:sz w:val="22"/>
        </w:rPr>
        <w:t xml:space="preserve"> prennent fin à compter de la même date, la société étant désormais représentée par le liquidateur. </w:t>
      </w:r>
      <w:r>
        <w:rPr>
          <w:rFonts w:ascii="Calibri" w:hAnsi="Calibri" w:eastAsia="Calibri"/>
          <w:sz w:val="22"/>
          <w:highlight w:val="yellow"/>
        </w:rPr>
        <w:t>[Le cas échéant : la dissolution ne met pas fin aux fonctions du commissaire aux comptes (C. com., art. L. 237-16).]</w:t>
      </w:r>
    </w:p>
    <w:p>
      <w:pPr>
        <w:spacing w:after="160" w:before="0"/>
        <w:jc w:val="both"/>
      </w:pPr>
      <w:r>
        <w:rPr>
          <w:rFonts w:ascii="Calibri" w:hAnsi="Calibri" w:eastAsia="Calibri"/>
          <w:sz w:val="22"/>
          <w:highlight w:val="yellow"/>
        </w:rPr>
        <w:t>[Facultatif :]</w:t>
      </w:r>
      <w:r>
        <w:rPr>
          <w:rFonts w:ascii="Calibri" w:hAnsi="Calibri" w:eastAsia="Calibri"/>
          <w:sz w:val="22"/>
        </w:rPr>
        <w:t xml:space="preserve"> Au vu de la situation présentée, l’assemblée constate que la société </w:t>
      </w:r>
      <w:r>
        <w:rPr>
          <w:rFonts w:ascii="Calibri" w:hAnsi="Calibri" w:eastAsia="Calibri"/>
          <w:sz w:val="22"/>
          <w:highlight w:val="yellow"/>
        </w:rPr>
        <w:t>[dispose d’un actif permettant de régler l’intégralité de son passif / …]</w:t>
      </w:r>
      <w:r>
        <w:rPr>
          <w:rFonts w:ascii="Calibri" w:hAnsi="Calibri" w:eastAsia="Calibri"/>
          <w:sz w:val="22"/>
        </w:rPr>
        <w:t xml:space="preserve"> et n’est pas en état de cessation des paiements.</w:t>
      </w:r>
    </w:p>
    <w:p>
      <w:pPr>
        <w:spacing w:after="40" w:before="0"/>
        <w:jc w:val="both"/>
      </w:pPr>
      <w:r>
        <w:rPr>
          <w:rFonts w:ascii="Calibri" w:hAnsi="Calibri" w:eastAsia="Calibri"/>
          <w:sz w:val="22"/>
        </w:rPr>
        <w:t xml:space="preserve">Votes : pour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 contre </w:t>
      </w:r>
      <w:r>
        <w:rPr>
          <w:rFonts w:ascii="Calibri" w:hAnsi="Calibri" w:eastAsia="Calibri"/>
          <w:sz w:val="22"/>
          <w:highlight w:val="yellow"/>
        </w:rPr>
        <w:t>[nombre]</w:t>
      </w:r>
      <w:r>
        <w:rPr>
          <w:rFonts w:ascii="Calibri" w:hAnsi="Calibri" w:eastAsia="Calibri"/>
          <w:sz w:val="22"/>
        </w:rPr>
        <w:t xml:space="preserve"> ; abstention(s) </w:t>
      </w:r>
      <w:r>
        <w:rPr>
          <w:rFonts w:ascii="Calibri" w:hAnsi="Calibri" w:eastAsia="Calibri"/>
          <w:sz w:val="22"/>
          <w:highlight w:val="yellow"/>
        </w:rPr>
        <w:t>[nombre]</w:t>
      </w:r>
      <w:r>
        <w:rPr>
          <w:rFonts w:ascii="Calibri" w:hAnsi="Calibri" w:eastAsia="Calibri"/>
          <w:sz w:val="22"/>
        </w:rPr>
        <w:t>.</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 xml:space="preserve"> à </w:t>
      </w:r>
      <w:r>
        <w:rPr>
          <w:rFonts w:ascii="Calibri" w:hAnsi="Calibri" w:eastAsia="Calibri"/>
          <w:b/>
          <w:sz w:val="22"/>
          <w:highlight w:val="yellow"/>
        </w:rPr>
        <w:t>[l’unanimité / la majorité de …]</w:t>
      </w:r>
      <w:r>
        <w:rPr>
          <w:rFonts w:ascii="Calibri" w:hAnsi="Calibri" w:eastAsia="Calibri"/>
          <w:b/>
          <w:sz w:val="22"/>
        </w:rPr>
        <w:t>.</w:t>
      </w:r>
    </w:p>
    <w:p>
      <w:pPr>
        <w:spacing w:after="120" w:before="0"/>
      </w:pPr>
      <w:r>
        <w:rPr>
          <w:rFonts w:ascii="Calibri" w:hAnsi="Calibri" w:eastAsia="Calibri"/>
          <w:b/>
          <w:sz w:val="22"/>
        </w:rPr>
        <w:t>DEUXIÈME RÉSOLUTION — Nomination du liquidateur, pouvoirs et rémunération</w:t>
      </w:r>
    </w:p>
    <w:p>
      <w:pPr>
        <w:spacing w:after="160" w:before="0"/>
        <w:jc w:val="both"/>
      </w:pPr>
      <w:r>
        <w:rPr>
          <w:rFonts w:ascii="Calibri" w:hAnsi="Calibri" w:eastAsia="Calibri"/>
          <w:sz w:val="22"/>
        </w:rPr>
        <w:t xml:space="preserve">L’assemblée générale, statuant </w:t>
      </w:r>
      <w:r>
        <w:rPr>
          <w:rFonts w:ascii="Calibri" w:hAnsi="Calibri" w:eastAsia="Calibri"/>
          <w:sz w:val="22"/>
          <w:highlight w:val="yellow"/>
        </w:rPr>
        <w:t>[à la majorité en capital des associés (SARL) / à l’unanimité des associés (SAS, sauf clause contraire des statuts) / dans les conditions prévues à l’article … des statuts]</w:t>
      </w:r>
      <w:r>
        <w:rPr>
          <w:rFonts w:ascii="Calibri" w:hAnsi="Calibri" w:eastAsia="Calibri"/>
          <w:sz w:val="22"/>
        </w:rPr>
        <w:t xml:space="preserve">, nomme en qualité de liquidateur, pour une durée de </w:t>
      </w:r>
      <w:r>
        <w:rPr>
          <w:rFonts w:ascii="Calibri" w:hAnsi="Calibri" w:eastAsia="Calibri"/>
          <w:sz w:val="22"/>
          <w:highlight w:val="yellow"/>
        </w:rPr>
        <w:t>[trois ans / …]</w:t>
      </w:r>
      <w:r>
        <w:rPr>
          <w:rFonts w:ascii="Calibri" w:hAnsi="Calibri" w:eastAsia="Calibri"/>
          <w:sz w:val="22"/>
        </w:rPr>
        <w:t xml:space="preserve"> — trois ans au plus, renouvelable par décision des associés (C. com., art. L. 237-21) — :</w:t>
      </w:r>
    </w:p>
    <w:p>
      <w:pPr>
        <w:spacing w:after="160" w:before="0"/>
        <w:jc w:val="both"/>
      </w:pPr>
      <w:r>
        <w:rPr>
          <w:rFonts w:ascii="Calibri" w:hAnsi="Calibri" w:eastAsia="Calibri"/>
          <w:sz w:val="22"/>
          <w:highlight w:val="yellow"/>
        </w:rPr>
        <w:t>[Prénom NOM]</w:t>
      </w:r>
      <w:r>
        <w:rPr>
          <w:rFonts w:ascii="Calibri" w:hAnsi="Calibri" w:eastAsia="Calibri"/>
          <w:sz w:val="22"/>
        </w:rPr>
        <w:t xml:space="preserve">, 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de nationalité </w:t>
      </w:r>
      <w:r>
        <w:rPr>
          <w:rFonts w:ascii="Calibri" w:hAnsi="Calibri" w:eastAsia="Calibri"/>
          <w:sz w:val="22"/>
          <w:highlight w:val="yellow"/>
        </w:rPr>
        <w:t>[nationalité]</w:t>
      </w:r>
      <w:r>
        <w:rPr>
          <w:rFonts w:ascii="Calibri" w:hAnsi="Calibri" w:eastAsia="Calibri"/>
          <w:sz w:val="22"/>
        </w:rPr>
        <w:t xml:space="preserve">, demeurant </w:t>
      </w:r>
      <w:r>
        <w:rPr>
          <w:rFonts w:ascii="Calibri" w:hAnsi="Calibri" w:eastAsia="Calibri"/>
          <w:sz w:val="22"/>
          <w:highlight w:val="yellow"/>
        </w:rPr>
        <w:t>[adresse]</w:t>
      </w:r>
      <w:r>
        <w:rPr>
          <w:rFonts w:ascii="Calibri" w:hAnsi="Calibri" w:eastAsia="Calibri"/>
          <w:sz w:val="22"/>
        </w:rPr>
        <w:t>.</w:t>
      </w:r>
    </w:p>
    <w:p>
      <w:pPr>
        <w:spacing w:after="160" w:before="0"/>
        <w:jc w:val="both"/>
      </w:pPr>
      <w:r>
        <w:rPr>
          <w:rFonts w:ascii="Calibri" w:hAnsi="Calibri" w:eastAsia="Calibri"/>
          <w:sz w:val="22"/>
        </w:rPr>
        <w:t>Le liquidateur représente la société. Il est investi des pouvoirs les plus étendus pour réaliser l’actif, même à l’amiable ; il est habilité à payer les créanciers et à répartir le solde disponible (C. com., art. L. 237-24).</w:t>
      </w:r>
    </w:p>
    <w:p>
      <w:pPr>
        <w:spacing w:after="160" w:before="0"/>
        <w:jc w:val="both"/>
      </w:pPr>
      <w:r>
        <w:rPr>
          <w:rFonts w:ascii="Calibri" w:hAnsi="Calibri" w:eastAsia="Calibri"/>
          <w:sz w:val="22"/>
          <w:highlight w:val="yellow"/>
        </w:rPr>
        <w:t>[Option 1 :]</w:t>
      </w:r>
      <w:r>
        <w:rPr>
          <w:rFonts w:ascii="Calibri" w:hAnsi="Calibri" w:eastAsia="Calibri"/>
          <w:sz w:val="22"/>
        </w:rPr>
        <w:t xml:space="preserve"> Il est autorisé à continuer les affaires en cours </w:t>
      </w:r>
      <w:r>
        <w:rPr>
          <w:rFonts w:ascii="Calibri" w:hAnsi="Calibri" w:eastAsia="Calibri"/>
          <w:sz w:val="22"/>
          <w:highlight w:val="yellow"/>
        </w:rPr>
        <w:t>[et à engager les affaires nouvelles suivantes]</w:t>
      </w:r>
      <w:r>
        <w:rPr>
          <w:rFonts w:ascii="Calibri" w:hAnsi="Calibri" w:eastAsia="Calibri"/>
          <w:sz w:val="22"/>
        </w:rPr>
        <w:t xml:space="preserve"> pour les besoins de la liquidation : </w:t>
      </w:r>
      <w:r>
        <w:rPr>
          <w:rFonts w:ascii="Calibri" w:hAnsi="Calibri" w:eastAsia="Calibri"/>
          <w:sz w:val="22"/>
          <w:highlight w:val="yellow"/>
        </w:rPr>
        <w:t>[à préciser]</w:t>
      </w:r>
      <w:r>
        <w:rPr>
          <w:rFonts w:ascii="Calibri" w:hAnsi="Calibri" w:eastAsia="Calibri"/>
          <w:sz w:val="22"/>
        </w:rPr>
        <w:t xml:space="preserve">. </w:t>
      </w:r>
      <w:r>
        <w:rPr>
          <w:rFonts w:ascii="Calibri" w:hAnsi="Calibri" w:eastAsia="Calibri"/>
          <w:sz w:val="22"/>
          <w:highlight w:val="yellow"/>
        </w:rPr>
        <w:t>[Option 2 :]</w:t>
      </w:r>
      <w:r>
        <w:rPr>
          <w:rFonts w:ascii="Calibri" w:hAnsi="Calibri" w:eastAsia="Calibri"/>
          <w:sz w:val="22"/>
        </w:rPr>
        <w:t xml:space="preserve"> Il ne pourra continuer les affaires en cours ni en engager de nouvelles qu’avec l’autorisation préalable des associés.</w:t>
      </w:r>
    </w:p>
    <w:p>
      <w:pPr>
        <w:spacing w:after="160" w:before="0"/>
        <w:jc w:val="both"/>
      </w:pPr>
      <w:r>
        <w:rPr>
          <w:rFonts w:ascii="Calibri" w:hAnsi="Calibri" w:eastAsia="Calibri"/>
          <w:sz w:val="22"/>
          <w:highlight w:val="yellow"/>
        </w:rPr>
        <w:t>[Le cas échéant — limitations de pouvoirs, valables entre associés mais inopposables aux tiers (C. com., art. L. 237-24) : …]</w:t>
      </w:r>
    </w:p>
    <w:p>
      <w:pPr>
        <w:spacing w:after="160" w:before="0"/>
        <w:jc w:val="both"/>
      </w:pPr>
      <w:r>
        <w:rPr>
          <w:rFonts w:ascii="Calibri" w:hAnsi="Calibri" w:eastAsia="Calibri"/>
          <w:sz w:val="22"/>
        </w:rPr>
        <w:t xml:space="preserve">Le liquidateur exercera ses fonctions </w:t>
      </w:r>
      <w:r>
        <w:rPr>
          <w:rFonts w:ascii="Calibri" w:hAnsi="Calibri" w:eastAsia="Calibri"/>
          <w:sz w:val="22"/>
          <w:highlight w:val="yellow"/>
        </w:rPr>
        <w:t>[à titre gratuit / moyennant une rémunération de … € / selon les modalités suivantes : …]</w:t>
      </w:r>
      <w:r>
        <w:rPr>
          <w:rFonts w:ascii="Calibri" w:hAnsi="Calibri" w:eastAsia="Calibri"/>
          <w:sz w:val="22"/>
        </w:rPr>
        <w:t>. Il sera remboursé, sur justificatifs, des frais exposés pour les besoins de la liquidation.</w:t>
      </w:r>
    </w:p>
    <w:p>
      <w:pPr>
        <w:spacing w:after="160" w:before="0"/>
        <w:jc w:val="both"/>
      </w:pPr>
      <w:r>
        <w:rPr>
          <w:rFonts w:ascii="Calibri" w:hAnsi="Calibri" w:eastAsia="Calibri"/>
          <w:sz w:val="22"/>
          <w:highlight w:val="yellow"/>
        </w:rPr>
        <w:t>[Lorsque la liquidation est régie par les articles L. 237-14 et suivants du code de commerce :]</w:t>
      </w:r>
      <w:r>
        <w:rPr>
          <w:rFonts w:ascii="Calibri" w:hAnsi="Calibri" w:eastAsia="Calibri"/>
          <w:sz w:val="22"/>
        </w:rPr>
        <w:t xml:space="preserve"> le liquidateur convoquera les associés dans les six mois de sa nomination pour leur faire rapport sur la situation active et passive de la société, sur la poursuite des opérations de liquidation et le délai nécessaire pour les terminer (C. com., art. L. 237-23) ; il établira, dans les trois mois de la clôture de chaque exercice, les comptes annuels et un rapport écrit sur les opérations de liquidation, et convoquera l’assemblée dans les six mois de cette clôture (C. com., art. L. 237-25).</w:t>
      </w:r>
    </w:p>
    <w:p>
      <w:pPr>
        <w:spacing w:after="160" w:before="0"/>
        <w:jc w:val="both"/>
      </w:pP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[présent(e) / représenté(e)]</w:t>
      </w:r>
      <w:r>
        <w:rPr>
          <w:rFonts w:ascii="Calibri" w:hAnsi="Calibri" w:eastAsia="Calibri"/>
          <w:sz w:val="22"/>
        </w:rPr>
        <w:t>, déclare accepter les fonctions de liquidateur et n’être frappé(e) d’aucune interdiction ou déchéance l’empêchant de les exercer (C. com., art. L. 237-4).</w:t>
      </w:r>
    </w:p>
    <w:p>
      <w:pPr>
        <w:spacing w:after="40" w:before="0"/>
        <w:jc w:val="both"/>
      </w:pPr>
      <w:r>
        <w:rPr>
          <w:rFonts w:ascii="Calibri" w:hAnsi="Calibri" w:eastAsia="Calibri"/>
          <w:sz w:val="22"/>
        </w:rPr>
        <w:t xml:space="preserve">Votes : pour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 contre </w:t>
      </w:r>
      <w:r>
        <w:rPr>
          <w:rFonts w:ascii="Calibri" w:hAnsi="Calibri" w:eastAsia="Calibri"/>
          <w:sz w:val="22"/>
          <w:highlight w:val="yellow"/>
        </w:rPr>
        <w:t>[nombre]</w:t>
      </w:r>
      <w:r>
        <w:rPr>
          <w:rFonts w:ascii="Calibri" w:hAnsi="Calibri" w:eastAsia="Calibri"/>
          <w:sz w:val="22"/>
        </w:rPr>
        <w:t xml:space="preserve"> ; abstention(s) </w:t>
      </w:r>
      <w:r>
        <w:rPr>
          <w:rFonts w:ascii="Calibri" w:hAnsi="Calibri" w:eastAsia="Calibri"/>
          <w:sz w:val="22"/>
          <w:highlight w:val="yellow"/>
        </w:rPr>
        <w:t>[nombre]</w:t>
      </w:r>
      <w:r>
        <w:rPr>
          <w:rFonts w:ascii="Calibri" w:hAnsi="Calibri" w:eastAsia="Calibri"/>
          <w:sz w:val="22"/>
        </w:rPr>
        <w:t>.</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 xml:space="preserve"> à </w:t>
      </w:r>
      <w:r>
        <w:rPr>
          <w:rFonts w:ascii="Calibri" w:hAnsi="Calibri" w:eastAsia="Calibri"/>
          <w:b/>
          <w:sz w:val="22"/>
          <w:highlight w:val="yellow"/>
        </w:rPr>
        <w:t>[l’unanimité / la majorité de …]</w:t>
      </w:r>
      <w:r>
        <w:rPr>
          <w:rFonts w:ascii="Calibri" w:hAnsi="Calibri" w:eastAsia="Calibri"/>
          <w:b/>
          <w:sz w:val="22"/>
        </w:rPr>
        <w:t>.</w:t>
      </w:r>
    </w:p>
    <w:p>
      <w:pPr>
        <w:spacing w:after="120" w:before="0"/>
      </w:pPr>
      <w:r>
        <w:rPr>
          <w:rFonts w:ascii="Calibri" w:hAnsi="Calibri" w:eastAsia="Calibri"/>
          <w:b/>
          <w:sz w:val="22"/>
        </w:rPr>
        <w:t>TROISIÈME RÉSOLUTION — Siège de la liquidation</w:t>
      </w:r>
    </w:p>
    <w:p>
      <w:pPr>
        <w:spacing w:after="160" w:before="0"/>
        <w:jc w:val="both"/>
      </w:pPr>
      <w:r>
        <w:rPr>
          <w:rFonts w:ascii="Calibri" w:hAnsi="Calibri" w:eastAsia="Calibri"/>
          <w:sz w:val="22"/>
        </w:rPr>
        <w:t xml:space="preserve">L’assemblée générale fixe le siège de la liquidation </w:t>
      </w:r>
      <w:r>
        <w:rPr>
          <w:rFonts w:ascii="Calibri" w:hAnsi="Calibri" w:eastAsia="Calibri"/>
          <w:sz w:val="22"/>
          <w:highlight w:val="yellow"/>
        </w:rPr>
        <w:t>[au siège social / à l’adresse suivante : …]</w:t>
      </w:r>
      <w:r>
        <w:rPr>
          <w:rFonts w:ascii="Calibri" w:hAnsi="Calibri" w:eastAsia="Calibri"/>
          <w:sz w:val="22"/>
        </w:rPr>
        <w:t>. C’est à cette adresse que la correspondance devra être adressée et que les actes et documents concernant la liquidation devront être notifiés (C. com., art. R. 237-2).</w:t>
      </w:r>
    </w:p>
    <w:p>
      <w:pPr>
        <w:spacing w:after="40" w:before="0"/>
        <w:jc w:val="both"/>
      </w:pPr>
      <w:r>
        <w:rPr>
          <w:rFonts w:ascii="Calibri" w:hAnsi="Calibri" w:eastAsia="Calibri"/>
          <w:sz w:val="22"/>
        </w:rPr>
        <w:t xml:space="preserve">Votes : pour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 contre </w:t>
      </w:r>
      <w:r>
        <w:rPr>
          <w:rFonts w:ascii="Calibri" w:hAnsi="Calibri" w:eastAsia="Calibri"/>
          <w:sz w:val="22"/>
          <w:highlight w:val="yellow"/>
        </w:rPr>
        <w:t>[nombre]</w:t>
      </w:r>
      <w:r>
        <w:rPr>
          <w:rFonts w:ascii="Calibri" w:hAnsi="Calibri" w:eastAsia="Calibri"/>
          <w:sz w:val="22"/>
        </w:rPr>
        <w:t xml:space="preserve"> ; abstention(s) </w:t>
      </w:r>
      <w:r>
        <w:rPr>
          <w:rFonts w:ascii="Calibri" w:hAnsi="Calibri" w:eastAsia="Calibri"/>
          <w:sz w:val="22"/>
          <w:highlight w:val="yellow"/>
        </w:rPr>
        <w:t>[nombre]</w:t>
      </w:r>
      <w:r>
        <w:rPr>
          <w:rFonts w:ascii="Calibri" w:hAnsi="Calibri" w:eastAsia="Calibri"/>
          <w:sz w:val="22"/>
        </w:rPr>
        <w:t>.</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 xml:space="preserve"> à </w:t>
      </w:r>
      <w:r>
        <w:rPr>
          <w:rFonts w:ascii="Calibri" w:hAnsi="Calibri" w:eastAsia="Calibri"/>
          <w:b/>
          <w:sz w:val="22"/>
          <w:highlight w:val="yellow"/>
        </w:rPr>
        <w:t>[l’unanimité / la majorité de …]</w:t>
      </w:r>
      <w:r>
        <w:rPr>
          <w:rFonts w:ascii="Calibri" w:hAnsi="Calibri" w:eastAsia="Calibri"/>
          <w:b/>
          <w:sz w:val="22"/>
        </w:rPr>
        <w:t>.</w:t>
      </w:r>
    </w:p>
    <w:p>
      <w:pPr>
        <w:spacing w:after="120" w:before="0"/>
      </w:pPr>
      <w:r>
        <w:rPr>
          <w:rFonts w:ascii="Calibri" w:hAnsi="Calibri" w:eastAsia="Calibri"/>
          <w:b/>
          <w:sz w:val="22"/>
        </w:rPr>
        <w:t>QUATRIÈME RÉSOLUTION — Pouvoirs</w:t>
      </w:r>
    </w:p>
    <w:p>
      <w:pPr>
        <w:spacing w:after="160" w:before="0"/>
        <w:jc w:val="both"/>
      </w:pPr>
      <w:r>
        <w:rPr>
          <w:rFonts w:ascii="Calibri" w:hAnsi="Calibri" w:eastAsia="Calibri"/>
          <w:sz w:val="22"/>
        </w:rPr>
        <w:t>L’assemblée générale donne tous pouvoirs au liquidateur, ainsi qu’au porteur d’un original, d’une copie ou d’un extrait du présent procès-verbal, pour accomplir toutes formalités de publicité, de dépôt et de déclaration, notamment la publication d’un avis dans un support habilité à recevoir les annonces légales et la déclaration de la dissolution sur le guichet unique des formalités d’entreprises.</w:t>
      </w:r>
    </w:p>
    <w:p>
      <w:pPr>
        <w:spacing w:after="40" w:before="0"/>
        <w:jc w:val="both"/>
      </w:pPr>
      <w:r>
        <w:rPr>
          <w:rFonts w:ascii="Calibri" w:hAnsi="Calibri" w:eastAsia="Calibri"/>
          <w:sz w:val="22"/>
        </w:rPr>
        <w:t xml:space="preserve">Votes : pour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 contre </w:t>
      </w:r>
      <w:r>
        <w:rPr>
          <w:rFonts w:ascii="Calibri" w:hAnsi="Calibri" w:eastAsia="Calibri"/>
          <w:sz w:val="22"/>
          <w:highlight w:val="yellow"/>
        </w:rPr>
        <w:t>[nombre]</w:t>
      </w:r>
      <w:r>
        <w:rPr>
          <w:rFonts w:ascii="Calibri" w:hAnsi="Calibri" w:eastAsia="Calibri"/>
          <w:sz w:val="22"/>
        </w:rPr>
        <w:t xml:space="preserve"> ; abstention(s) </w:t>
      </w:r>
      <w:r>
        <w:rPr>
          <w:rFonts w:ascii="Calibri" w:hAnsi="Calibri" w:eastAsia="Calibri"/>
          <w:sz w:val="22"/>
          <w:highlight w:val="yellow"/>
        </w:rPr>
        <w:t>[nombre]</w:t>
      </w:r>
      <w:r>
        <w:rPr>
          <w:rFonts w:ascii="Calibri" w:hAnsi="Calibri" w:eastAsia="Calibri"/>
          <w:sz w:val="22"/>
        </w:rPr>
        <w:t>.</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 xml:space="preserve"> à </w:t>
      </w:r>
      <w:r>
        <w:rPr>
          <w:rFonts w:ascii="Calibri" w:hAnsi="Calibri" w:eastAsia="Calibri"/>
          <w:b/>
          <w:sz w:val="22"/>
          <w:highlight w:val="yellow"/>
        </w:rPr>
        <w:t>[l’unanimité / la majorité de …]</w:t>
      </w:r>
      <w:r>
        <w:rPr>
          <w:rFonts w:ascii="Calibri" w:hAnsi="Calibri" w:eastAsia="Calibri"/>
          <w:b/>
          <w:sz w:val="22"/>
        </w:rPr>
        <w:t>.</w:t>
      </w:r>
    </w:p>
    <w:p>
      <w:pPr>
        <w:spacing w:after="160" w:before="0"/>
        <w:jc w:val="both"/>
      </w:pPr>
      <w:r>
        <w:rPr>
          <w:rFonts w:ascii="Calibri" w:hAnsi="Calibri" w:eastAsia="Calibri"/>
          <w:sz w:val="22"/>
        </w:rPr>
        <w:t xml:space="preserve">L’ordre du jour étant épuisé, la séance est levée à </w:t>
      </w:r>
      <w:r>
        <w:rPr>
          <w:rFonts w:ascii="Calibri" w:hAnsi="Calibri" w:eastAsia="Calibri"/>
          <w:sz w:val="22"/>
          <w:highlight w:val="yellow"/>
        </w:rPr>
        <w:t>[heure]</w:t>
      </w:r>
      <w:r>
        <w:rPr>
          <w:rFonts w:ascii="Calibri" w:hAnsi="Calibri" w:eastAsia="Calibri"/>
          <w:sz w:val="22"/>
        </w:rPr>
        <w:t>.</w:t>
      </w:r>
    </w:p>
    <w:p>
      <w:pPr>
        <w:spacing w:after="320" w:before="0"/>
        <w:jc w:val="both"/>
      </w:pPr>
      <w:r>
        <w:rPr>
          <w:rFonts w:ascii="Calibri" w:hAnsi="Calibri" w:eastAsia="Calibri"/>
          <w:sz w:val="22"/>
        </w:rPr>
        <w:t xml:space="preserve">De tout ce que dessus, il a été dressé le présent procès-verbal, signé par </w:t>
      </w:r>
      <w:r>
        <w:rPr>
          <w:rFonts w:ascii="Calibri" w:hAnsi="Calibri" w:eastAsia="Calibri"/>
          <w:sz w:val="22"/>
          <w:highlight w:val="yellow"/>
        </w:rPr>
        <w:t>[le gérant et le président de séance (SARL) / le président de séance et le secrétaire (SAS, selon les statuts)]</w:t>
      </w:r>
      <w:r>
        <w:rPr>
          <w:rFonts w:ascii="Calibri" w:hAnsi="Calibri" w:eastAsia="Calibri"/>
          <w:sz w:val="22"/>
        </w:rPr>
        <w:t>, et par le liquidateur en signe d’acceptation de ses fonctions.</w:t>
      </w:r>
    </w:p>
    <w:p>
      <w:pPr>
        <w:spacing w:after="40" w:before="0"/>
      </w:pPr>
      <w:r>
        <w:rPr>
          <w:rFonts w:ascii="Calibri" w:hAnsi="Calibri" w:eastAsia="Calibri"/>
          <w:b/>
          <w:sz w:val="22"/>
        </w:rPr>
        <w:t>Le président de séance</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Le secrétaire de séance</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Le gérant (SARL)</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Le liquidateur</w:t>
      </w:r>
    </w:p>
    <w:p>
      <w:pPr>
        <w:spacing w:after="280" w:before="0"/>
      </w:pPr>
      <w:r>
        <w:rPr>
          <w:rFonts w:ascii="Calibri" w:hAnsi="Calibri" w:eastAsia="Calibri"/>
          <w:sz w:val="22"/>
          <w:highlight w:val="yellow"/>
        </w:rPr>
        <w:t>[Prénom NOM — signature précédée de la mention « Bon pour acceptation des fonctions de liquidateur »]</w:t>
      </w:r>
    </w:p>
    <w:p>
      <w:r>
        <w:br w:type="page"/>
      </w:r>
    </w:p>
    <w:p>
      <w:pPr>
        <w:spacing w:after="80" w:before="0"/>
      </w:pPr>
      <w:r>
        <w:rPr>
          <w:rFonts w:ascii="Calibri" w:hAnsi="Calibri" w:eastAsia="Calibri"/>
          <w:b/>
          <w:sz w:val="24"/>
        </w:rPr>
        <w:t>ANNEXE — Projet d’avis à publier dans un support habilité à recevoir les annonces légales</w:t>
      </w:r>
    </w:p>
    <w:p>
      <w:pPr>
        <w:spacing w:after="200" w:before="0"/>
        <w:jc w:val="both"/>
      </w:pPr>
      <w:r>
        <w:rPr>
          <w:rFonts w:ascii="Calibri" w:hAnsi="Calibri" w:eastAsia="Calibri"/>
          <w:i/>
          <w:color w:val="4B5563"/>
          <w:sz w:val="22"/>
        </w:rPr>
        <w:t>À publier dans le délai d’un mois, dans un support habilité du département du siège social (C. com., art. R. 237-2). L’avis doit contenir les indications de ce texte, reprises ci-dessous : dénomination et, le cas échéant, sigle ; forme suivie de la mention « en liquidation » ; capital ; adresse du siège ; numéro unique d’identification et mention RCS suivie de la ville du greffe ; cause de la liquidation ; nom, prénom usuel et domicile des liquidateurs ; le cas échéant, limitations de leurs pouvoirs ; lieu de la correspondance et de la notification des actes ; tribunal au greffe duquel les actes et pièces de la liquidation sont déposés. La date de la décision et sa date d’effet sont ajoutées pour la clarté de l’avis.</w:t>
      </w:r>
    </w:p>
    <w:p>
      <w:pPr>
        <w:spacing w:after="160" w:before="0"/>
        <w:jc w:val="both"/>
      </w:pPr>
      <w:r>
        <w:rPr>
          <w:rFonts w:ascii="Calibri" w:hAnsi="Calibri" w:eastAsia="Calibri"/>
          <w:b/>
          <w:sz w:val="22"/>
          <w:highlight w:val="yellow"/>
        </w:rPr>
        <w:t>[DÉNOMINATION]</w:t>
      </w:r>
      <w:r>
        <w:rPr>
          <w:rFonts w:ascii="Calibri" w:hAnsi="Calibri" w:eastAsia="Calibri"/>
          <w:sz w:val="22"/>
        </w:rPr>
        <w:t xml:space="preserve"> </w:t>
      </w:r>
      <w:r>
        <w:rPr>
          <w:rFonts w:ascii="Calibri" w:hAnsi="Calibri" w:eastAsia="Calibri"/>
          <w:sz w:val="22"/>
          <w:highlight w:val="yellow"/>
        </w:rPr>
        <w:t>[sigle éventuel]</w:t>
      </w:r>
      <w:r>
        <w:rPr>
          <w:rFonts w:ascii="Calibri" w:hAnsi="Calibri" w:eastAsia="Calibri"/>
          <w:sz w:val="22"/>
        </w:rPr>
        <w:t xml:space="preserve"> — </w:t>
      </w:r>
      <w:r>
        <w:rPr>
          <w:rFonts w:ascii="Calibri" w:hAnsi="Calibri" w:eastAsia="Calibri"/>
          <w:sz w:val="22"/>
          <w:highlight w:val="yellow"/>
        </w:rPr>
        <w:t>[forme de la société]</w:t>
      </w:r>
      <w:r>
        <w:rPr>
          <w:rFonts w:ascii="Calibri" w:hAnsi="Calibri" w:eastAsia="Calibri"/>
          <w:sz w:val="22"/>
        </w:rPr>
        <w:t xml:space="preserve"> en liquidation au capital de </w:t>
      </w:r>
      <w:r>
        <w:rPr>
          <w:rFonts w:ascii="Calibri" w:hAnsi="Calibri" w:eastAsia="Calibri"/>
          <w:sz w:val="22"/>
          <w:highlight w:val="yellow"/>
        </w:rPr>
        <w:t>[montant]</w:t>
      </w:r>
      <w:r>
        <w:rPr>
          <w:rFonts w:ascii="Calibri" w:hAnsi="Calibri" w:eastAsia="Calibri"/>
          <w:sz w:val="22"/>
        </w:rPr>
        <w:t xml:space="preserve"> € — Siège social : </w:t>
      </w:r>
      <w:r>
        <w:rPr>
          <w:rFonts w:ascii="Calibri" w:hAnsi="Calibri" w:eastAsia="Calibri"/>
          <w:sz w:val="22"/>
          <w:highlight w:val="yellow"/>
        </w:rPr>
        <w:t>[adresse]</w:t>
      </w:r>
      <w:r>
        <w:rPr>
          <w:rFonts w:ascii="Calibri" w:hAnsi="Calibri" w:eastAsia="Calibri"/>
          <w:sz w:val="22"/>
        </w:rPr>
        <w:t xml:space="preserve"> — </w:t>
      </w: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r>
        <w:rPr>
          <w:rFonts w:ascii="Calibri" w:hAnsi="Calibri" w:eastAsia="Calibri"/>
          <w:sz w:val="22"/>
        </w:rPr>
        <w:t>.</w:t>
      </w:r>
    </w:p>
    <w:p>
      <w:pPr>
        <w:spacing w:after="160" w:before="0"/>
        <w:jc w:val="both"/>
      </w:pPr>
      <w:r>
        <w:rPr>
          <w:rFonts w:ascii="Calibri" w:hAnsi="Calibri" w:eastAsia="Calibri"/>
          <w:sz w:val="22"/>
        </w:rPr>
        <w:t xml:space="preserve">Aux termes </w:t>
      </w:r>
      <w:r>
        <w:rPr>
          <w:rFonts w:ascii="Calibri" w:hAnsi="Calibri" w:eastAsia="Calibri"/>
          <w:sz w:val="22"/>
          <w:highlight w:val="yellow"/>
        </w:rPr>
        <w:t>[du procès-verbal de l’assemblée générale extraordinaire]</w:t>
      </w:r>
      <w:r>
        <w:rPr>
          <w:rFonts w:ascii="Calibri" w:hAnsi="Calibri" w:eastAsia="Calibri"/>
          <w:sz w:val="22"/>
        </w:rPr>
        <w:t xml:space="preserve"> du </w:t>
      </w:r>
      <w:r>
        <w:rPr>
          <w:rFonts w:ascii="Calibri" w:hAnsi="Calibri" w:eastAsia="Calibri"/>
          <w:sz w:val="22"/>
          <w:highlight w:val="yellow"/>
        </w:rPr>
        <w:t>[date]</w:t>
      </w:r>
      <w:r>
        <w:rPr>
          <w:rFonts w:ascii="Calibri" w:hAnsi="Calibri" w:eastAsia="Calibri"/>
          <w:sz w:val="22"/>
        </w:rPr>
        <w:t xml:space="preserve">, il a été décidé la dissolution anticipée de la société à compter du </w:t>
      </w:r>
      <w:r>
        <w:rPr>
          <w:rFonts w:ascii="Calibri" w:hAnsi="Calibri" w:eastAsia="Calibri"/>
          <w:sz w:val="22"/>
          <w:highlight w:val="yellow"/>
        </w:rPr>
        <w:t>[date]</w:t>
      </w:r>
      <w:r>
        <w:rPr>
          <w:rFonts w:ascii="Calibri" w:hAnsi="Calibri" w:eastAsia="Calibri"/>
          <w:sz w:val="22"/>
        </w:rPr>
        <w:t xml:space="preserve"> et sa mise en liquidation amiable. Cause de la liquidation : dissolution anticipée décidée par </w:t>
      </w:r>
      <w:r>
        <w:rPr>
          <w:rFonts w:ascii="Calibri" w:hAnsi="Calibri" w:eastAsia="Calibri"/>
          <w:sz w:val="22"/>
          <w:highlight w:val="yellow"/>
        </w:rPr>
        <w:t>[les associés / l’associé unique]</w:t>
      </w:r>
      <w:r>
        <w:rPr>
          <w:rFonts w:ascii="Calibri" w:hAnsi="Calibri" w:eastAsia="Calibri"/>
          <w:sz w:val="22"/>
        </w:rPr>
        <w:t>.</w:t>
      </w:r>
    </w:p>
    <w:p>
      <w:pPr>
        <w:spacing w:after="160" w:before="0"/>
        <w:jc w:val="both"/>
      </w:pPr>
      <w:r>
        <w:rPr>
          <w:rFonts w:ascii="Calibri" w:hAnsi="Calibri" w:eastAsia="Calibri"/>
          <w:sz w:val="22"/>
        </w:rPr>
        <w:t xml:space="preserve">Liquidateur : </w:t>
      </w:r>
      <w:r>
        <w:rPr>
          <w:rFonts w:ascii="Calibri" w:hAnsi="Calibri" w:eastAsia="Calibri"/>
          <w:sz w:val="22"/>
          <w:highlight w:val="yellow"/>
        </w:rPr>
        <w:t>[Prénom usuel NOM]</w:t>
      </w:r>
      <w:r>
        <w:rPr>
          <w:rFonts w:ascii="Calibri" w:hAnsi="Calibri" w:eastAsia="Calibri"/>
          <w:sz w:val="22"/>
        </w:rPr>
        <w:t xml:space="preserve">, demeurant </w:t>
      </w:r>
      <w:r>
        <w:rPr>
          <w:rFonts w:ascii="Calibri" w:hAnsi="Calibri" w:eastAsia="Calibri"/>
          <w:sz w:val="22"/>
          <w:highlight w:val="yellow"/>
        </w:rPr>
        <w:t>[domicile]</w:t>
      </w:r>
      <w:r>
        <w:rPr>
          <w:rFonts w:ascii="Calibri" w:hAnsi="Calibri" w:eastAsia="Calibri"/>
          <w:sz w:val="22"/>
        </w:rPr>
        <w:t xml:space="preserve">. </w:t>
      </w:r>
      <w:r>
        <w:rPr>
          <w:rFonts w:ascii="Calibri" w:hAnsi="Calibri" w:eastAsia="Calibri"/>
          <w:sz w:val="22"/>
          <w:highlight w:val="yellow"/>
        </w:rPr>
        <w:t>[Le cas échéant : limitations apportées à ses pouvoirs : …]</w:t>
      </w:r>
    </w:p>
    <w:p>
      <w:pPr>
        <w:spacing w:after="160" w:before="0"/>
        <w:jc w:val="both"/>
      </w:pPr>
      <w:r>
        <w:rPr>
          <w:rFonts w:ascii="Calibri" w:hAnsi="Calibri" w:eastAsia="Calibri"/>
          <w:sz w:val="22"/>
        </w:rPr>
        <w:t xml:space="preserve">Le siège de la liquidation est fixé </w:t>
      </w:r>
      <w:r>
        <w:rPr>
          <w:rFonts w:ascii="Calibri" w:hAnsi="Calibri" w:eastAsia="Calibri"/>
          <w:sz w:val="22"/>
          <w:highlight w:val="yellow"/>
        </w:rPr>
        <w:t>[adresse]</w:t>
      </w:r>
      <w:r>
        <w:rPr>
          <w:rFonts w:ascii="Calibri" w:hAnsi="Calibri" w:eastAsia="Calibri"/>
          <w:sz w:val="22"/>
        </w:rPr>
        <w:t>. C’est à cette adresse que la correspondance doit être adressée et que les actes et documents concernant la liquidation doivent être notifiés.</w:t>
      </w:r>
    </w:p>
    <w:p>
      <w:pPr>
        <w:spacing w:after="160" w:before="0"/>
        <w:jc w:val="both"/>
      </w:pPr>
      <w:r>
        <w:rPr>
          <w:rFonts w:ascii="Calibri" w:hAnsi="Calibri" w:eastAsia="Calibri"/>
          <w:sz w:val="22"/>
        </w:rPr>
        <w:t xml:space="preserve">Les actes et pièces relatifs à la liquidation seront déposés au greffe </w:t>
      </w:r>
      <w:r>
        <w:rPr>
          <w:rFonts w:ascii="Calibri" w:hAnsi="Calibri" w:eastAsia="Calibri"/>
          <w:sz w:val="22"/>
          <w:highlight w:val="yellow"/>
        </w:rPr>
        <w:t>[du tribunal qui tient le registre de la société, tel qu’indiqué sur son extrait d’immatriculation]</w:t>
      </w:r>
      <w:r>
        <w:rPr>
          <w:rFonts w:ascii="Calibri" w:hAnsi="Calibri" w:eastAsia="Calibri"/>
          <w:sz w:val="22"/>
        </w:rPr>
        <w:t xml:space="preserve"> de </w:t>
      </w:r>
      <w:r>
        <w:rPr>
          <w:rFonts w:ascii="Calibri" w:hAnsi="Calibri" w:eastAsia="Calibri"/>
          <w:sz w:val="22"/>
          <w:highlight w:val="yellow"/>
        </w:rPr>
        <w:t>[ville]</w:t>
      </w:r>
      <w:r>
        <w:rPr>
          <w:rFonts w:ascii="Calibri" w:hAnsi="Calibri" w:eastAsia="Calibri"/>
          <w:sz w:val="22"/>
        </w:rPr>
        <w:t>.</w:t>
      </w:r>
    </w:p>
    <w:p>
      <w:pPr>
        <w:spacing w:after="280" w:before="0"/>
        <w:jc w:val="both"/>
      </w:pPr>
      <w:r>
        <w:rPr>
          <w:rFonts w:ascii="Calibri" w:hAnsi="Calibri" w:eastAsia="Calibri"/>
          <w:sz w:val="22"/>
        </w:rPr>
        <w:t>Pour avis, le liquidateur.</w:t>
      </w:r>
    </w:p>
    <w:p>
      <w:pPr>
        <w:spacing w:after="120" w:before="0"/>
      </w:pPr>
      <w:r>
        <w:rPr>
          <w:rFonts w:ascii="Calibri" w:hAnsi="Calibri" w:eastAsia="Calibri"/>
          <w:b/>
          <w:sz w:val="24"/>
        </w:rPr>
        <w:t>ANNEXE — Calendrier indicatif de la liquidation amiable</w:t>
      </w:r>
    </w:p>
    <w:tbl>
      <w:tblPr>
        <w:tblStyle w:val="TableGrid"/>
        <w:tblW w:type="auto" w:w="0"/>
        <w:tblLook w:firstColumn="1" w:firstRow="1" w:lastColumn="0" w:lastRow="0" w:noHBand="0" w:noVBand="1" w:val="04A0"/>
      </w:tblPr>
      <w:tblGrid>
        <w:gridCol w:w="3211"/>
        <w:gridCol w:w="3211"/>
        <w:gridCol w:w="3211"/>
      </w:tblGrid>
      <w:tr>
        <w:tc>
          <w:tcPr>
            <w:tcW w:type="dxa" w:w="3211"/>
          </w:tcPr>
          <w:p>
            <w:pPr>
              <w:spacing w:after="0" w:before="0"/>
            </w:pPr>
            <w:r>
              <w:rPr>
                <w:rFonts w:ascii="Calibri" w:hAnsi="Calibri" w:eastAsia="Calibri"/>
                <w:b/>
                <w:sz w:val="19"/>
              </w:rPr>
              <w:t>Quand</w:t>
            </w:r>
          </w:p>
        </w:tc>
        <w:tc>
          <w:tcPr>
            <w:tcW w:type="dxa" w:w="3211"/>
          </w:tcPr>
          <w:p>
            <w:pPr>
              <w:spacing w:after="0" w:before="0"/>
            </w:pPr>
            <w:r>
              <w:rPr>
                <w:rFonts w:ascii="Calibri" w:hAnsi="Calibri" w:eastAsia="Calibri"/>
                <w:b/>
                <w:sz w:val="19"/>
              </w:rPr>
              <w:t>Quoi</w:t>
            </w:r>
          </w:p>
        </w:tc>
        <w:tc>
          <w:tcPr>
            <w:tcW w:type="dxa" w:w="3211"/>
          </w:tcPr>
          <w:p>
            <w:pPr>
              <w:spacing w:after="0" w:before="0"/>
            </w:pPr>
            <w:r>
              <w:rPr>
                <w:rFonts w:ascii="Calibri" w:hAnsi="Calibri" w:eastAsia="Calibri"/>
                <w:b/>
                <w:sz w:val="19"/>
              </w:rPr>
              <w:t>Texte</w:t>
            </w:r>
          </w:p>
        </w:tc>
      </w:tr>
      <w:tr>
        <w:tc>
          <w:tcPr>
            <w:tcW w:type="dxa" w:w="3211"/>
          </w:tcPr>
          <w:p>
            <w:pPr>
              <w:spacing w:after="0" w:before="0"/>
            </w:pPr>
            <w:r>
              <w:rPr>
                <w:rFonts w:ascii="Calibri" w:hAnsi="Calibri" w:eastAsia="Calibri"/>
                <w:sz w:val="19"/>
              </w:rPr>
              <w:t>Dans le mois de la décision</w:t>
            </w:r>
          </w:p>
        </w:tc>
        <w:tc>
          <w:tcPr>
            <w:tcW w:type="dxa" w:w="3211"/>
          </w:tcPr>
          <w:p>
            <w:pPr>
              <w:spacing w:after="0" w:before="0"/>
            </w:pPr>
            <w:r>
              <w:rPr>
                <w:rFonts w:ascii="Calibri" w:hAnsi="Calibri" w:eastAsia="Calibri"/>
                <w:sz w:val="19"/>
              </w:rPr>
              <w:t>Publication de l’acte de nomination du liquidateur dans un support d’annonces légales</w:t>
            </w:r>
          </w:p>
        </w:tc>
        <w:tc>
          <w:tcPr>
            <w:tcW w:type="dxa" w:w="3211"/>
          </w:tcPr>
          <w:p>
            <w:pPr>
              <w:spacing w:after="0" w:before="0"/>
            </w:pPr>
            <w:r>
              <w:rPr>
                <w:rFonts w:ascii="Calibri" w:hAnsi="Calibri" w:eastAsia="Calibri"/>
                <w:sz w:val="19"/>
              </w:rPr>
              <w:t>C. com., art. R. 237-2</w:t>
            </w:r>
          </w:p>
        </w:tc>
      </w:tr>
      <w:tr>
        <w:tc>
          <w:tcPr>
            <w:tcW w:type="dxa" w:w="3211"/>
          </w:tcPr>
          <w:p>
            <w:pPr>
              <w:spacing w:after="0" w:before="0"/>
            </w:pPr>
            <w:r>
              <w:rPr>
                <w:rFonts w:ascii="Calibri" w:hAnsi="Calibri" w:eastAsia="Calibri"/>
                <w:sz w:val="19"/>
              </w:rPr>
              <w:t>Avec la publication</w:t>
            </w:r>
          </w:p>
        </w:tc>
        <w:tc>
          <w:tcPr>
            <w:tcW w:type="dxa" w:w="3211"/>
          </w:tcPr>
          <w:p>
            <w:pPr>
              <w:spacing w:after="0" w:before="0"/>
            </w:pPr>
            <w:r>
              <w:rPr>
                <w:rFonts w:ascii="Calibri" w:hAnsi="Calibri" w:eastAsia="Calibri"/>
                <w:sz w:val="19"/>
              </w:rPr>
              <w:t>SAS ou SASU : à la diligence du liquidateur, porter les mêmes indications que l’avis, par simple lettre, à la connaissance des porteurs d’actions et d’obligations nominatives (le texte ne fixe pas de délai)</w:t>
            </w:r>
          </w:p>
        </w:tc>
        <w:tc>
          <w:tcPr>
            <w:tcW w:type="dxa" w:w="3211"/>
          </w:tcPr>
          <w:p>
            <w:pPr>
              <w:spacing w:after="0" w:before="0"/>
            </w:pPr>
            <w:r>
              <w:rPr>
                <w:rFonts w:ascii="Calibri" w:hAnsi="Calibri" w:eastAsia="Calibri"/>
                <w:sz w:val="19"/>
              </w:rPr>
              <w:t>C. com., art. R. 237-2, dernier al.</w:t>
            </w:r>
          </w:p>
        </w:tc>
      </w:tr>
      <w:tr>
        <w:tc>
          <w:tcPr>
            <w:tcW w:type="dxa" w:w="3211"/>
          </w:tcPr>
          <w:p>
            <w:pPr>
              <w:spacing w:after="0" w:before="0"/>
            </w:pPr>
            <w:r>
              <w:rPr>
                <w:rFonts w:ascii="Calibri" w:hAnsi="Calibri" w:eastAsia="Calibri"/>
                <w:sz w:val="19"/>
              </w:rPr>
              <w:t>Dans le mois de la décision</w:t>
            </w:r>
          </w:p>
        </w:tc>
        <w:tc>
          <w:tcPr>
            <w:tcW w:type="dxa" w:w="3211"/>
          </w:tcPr>
          <w:p>
            <w:pPr>
              <w:spacing w:after="0" w:before="0"/>
            </w:pPr>
            <w:r>
              <w:rPr>
                <w:rFonts w:ascii="Calibri" w:hAnsi="Calibri" w:eastAsia="Calibri"/>
                <w:sz w:val="19"/>
              </w:rPr>
              <w:t>Déclaration de la dissolution au guichet unique (inscription modificative)</w:t>
            </w:r>
          </w:p>
        </w:tc>
        <w:tc>
          <w:tcPr>
            <w:tcW w:type="dxa" w:w="3211"/>
          </w:tcPr>
          <w:p>
            <w:pPr>
              <w:spacing w:after="0" w:before="0"/>
            </w:pPr>
            <w:r>
              <w:rPr>
                <w:rFonts w:ascii="Calibri" w:hAnsi="Calibri" w:eastAsia="Calibri"/>
                <w:sz w:val="19"/>
              </w:rPr>
              <w:t>C. com., art. R. 123-66 et R. 123-263, 5°</w:t>
            </w:r>
          </w:p>
        </w:tc>
      </w:tr>
      <w:tr>
        <w:tc>
          <w:tcPr>
            <w:tcW w:type="dxa" w:w="3211"/>
          </w:tcPr>
          <w:p>
            <w:pPr>
              <w:spacing w:after="0" w:before="0"/>
            </w:pPr>
            <w:r>
              <w:rPr>
                <w:rFonts w:ascii="Calibri" w:hAnsi="Calibri" w:eastAsia="Calibri"/>
                <w:sz w:val="19"/>
              </w:rPr>
              <w:t>Dès la dissolution</w:t>
            </w:r>
          </w:p>
        </w:tc>
        <w:tc>
          <w:tcPr>
            <w:tcW w:type="dxa" w:w="3211"/>
          </w:tcPr>
          <w:p>
            <w:pPr>
              <w:spacing w:after="0" w:before="0"/>
            </w:pPr>
            <w:r>
              <w:rPr>
                <w:rFonts w:ascii="Calibri" w:hAnsi="Calibri" w:eastAsia="Calibri"/>
                <w:sz w:val="19"/>
              </w:rPr>
              <w:t>Mention « société en liquidation » et nom du liquidateur sur tous les documents destinés aux tiers</w:t>
            </w:r>
          </w:p>
        </w:tc>
        <w:tc>
          <w:tcPr>
            <w:tcW w:type="dxa" w:w="3211"/>
          </w:tcPr>
          <w:p>
            <w:pPr>
              <w:spacing w:after="0" w:before="0"/>
            </w:pPr>
            <w:r>
              <w:rPr>
                <w:rFonts w:ascii="Calibri" w:hAnsi="Calibri" w:eastAsia="Calibri"/>
                <w:sz w:val="19"/>
              </w:rPr>
              <w:t>C. com., art. L. 237-2 et R. 237-1</w:t>
            </w:r>
          </w:p>
        </w:tc>
      </w:tr>
      <w:tr>
        <w:tc>
          <w:tcPr>
            <w:tcW w:type="dxa" w:w="3211"/>
          </w:tcPr>
          <w:p>
            <w:pPr>
              <w:spacing w:after="0" w:before="0"/>
            </w:pPr>
            <w:r>
              <w:rPr>
                <w:rFonts w:ascii="Calibri" w:hAnsi="Calibri" w:eastAsia="Calibri"/>
                <w:sz w:val="19"/>
              </w:rPr>
              <w:t>Dans les six mois de la nomination</w:t>
            </w:r>
          </w:p>
        </w:tc>
        <w:tc>
          <w:tcPr>
            <w:tcW w:type="dxa" w:w="3211"/>
          </w:tcPr>
          <w:p>
            <w:pPr>
              <w:spacing w:after="0" w:before="0"/>
            </w:pPr>
            <w:r>
              <w:rPr>
                <w:rFonts w:ascii="Calibri" w:hAnsi="Calibri" w:eastAsia="Calibri"/>
                <w:sz w:val="19"/>
              </w:rPr>
              <w:t>Assemblée des associés : rapport du liquidateur sur l’actif, le passif, la poursuite des opérations et le délai nécessaire</w:t>
            </w:r>
          </w:p>
        </w:tc>
        <w:tc>
          <w:tcPr>
            <w:tcW w:type="dxa" w:w="3211"/>
          </w:tcPr>
          <w:p>
            <w:pPr>
              <w:spacing w:after="0" w:before="0"/>
            </w:pPr>
            <w:r>
              <w:rPr>
                <w:rFonts w:ascii="Calibri" w:hAnsi="Calibri" w:eastAsia="Calibri"/>
                <w:sz w:val="19"/>
              </w:rPr>
              <w:t>C. com., art. L. 237-23</w:t>
            </w:r>
          </w:p>
        </w:tc>
      </w:tr>
      <w:tr>
        <w:tc>
          <w:tcPr>
            <w:tcW w:type="dxa" w:w="3211"/>
          </w:tcPr>
          <w:p>
            <w:pPr>
              <w:spacing w:after="0" w:before="0"/>
            </w:pPr>
            <w:r>
              <w:rPr>
                <w:rFonts w:ascii="Calibri" w:hAnsi="Calibri" w:eastAsia="Calibri"/>
                <w:sz w:val="19"/>
              </w:rPr>
              <w:t>Chaque exercice</w:t>
            </w:r>
          </w:p>
        </w:tc>
        <w:tc>
          <w:tcPr>
            <w:tcW w:type="dxa" w:w="3211"/>
          </w:tcPr>
          <w:p>
            <w:pPr>
              <w:spacing w:after="0" w:before="0"/>
            </w:pPr>
            <w:r>
              <w:rPr>
                <w:rFonts w:ascii="Calibri" w:hAnsi="Calibri" w:eastAsia="Calibri"/>
                <w:sz w:val="19"/>
              </w:rPr>
              <w:t>Comptes annuels et rapport écrit dans les trois mois de la clôture ; assemblée des associés dans les six mois</w:t>
            </w:r>
          </w:p>
        </w:tc>
        <w:tc>
          <w:tcPr>
            <w:tcW w:type="dxa" w:w="3211"/>
          </w:tcPr>
          <w:p>
            <w:pPr>
              <w:spacing w:after="0" w:before="0"/>
            </w:pPr>
            <w:r>
              <w:rPr>
                <w:rFonts w:ascii="Calibri" w:hAnsi="Calibri" w:eastAsia="Calibri"/>
                <w:sz w:val="19"/>
              </w:rPr>
              <w:t>C. com., art. L. 237-25</w:t>
            </w:r>
          </w:p>
        </w:tc>
      </w:tr>
      <w:tr>
        <w:tc>
          <w:tcPr>
            <w:tcW w:type="dxa" w:w="3211"/>
          </w:tcPr>
          <w:p>
            <w:pPr>
              <w:spacing w:after="0" w:before="0"/>
            </w:pPr>
            <w:r>
              <w:rPr>
                <w:rFonts w:ascii="Calibri" w:hAnsi="Calibri" w:eastAsia="Calibri"/>
                <w:sz w:val="19"/>
              </w:rPr>
              <w:t>Fin de liquidation</w:t>
            </w:r>
          </w:p>
        </w:tc>
        <w:tc>
          <w:tcPr>
            <w:tcW w:type="dxa" w:w="3211"/>
          </w:tcPr>
          <w:p>
            <w:pPr>
              <w:spacing w:after="0" w:before="0"/>
            </w:pPr>
            <w:r>
              <w:rPr>
                <w:rFonts w:ascii="Calibri" w:hAnsi="Calibri" w:eastAsia="Calibri"/>
                <w:sz w:val="19"/>
              </w:rPr>
              <w:t>Assemblée de clôture : compte définitif, quitus, décharge, constat de la clôture</w:t>
            </w:r>
          </w:p>
        </w:tc>
        <w:tc>
          <w:tcPr>
            <w:tcW w:type="dxa" w:w="3211"/>
          </w:tcPr>
          <w:p>
            <w:pPr>
              <w:spacing w:after="0" w:before="0"/>
            </w:pPr>
            <w:r>
              <w:rPr>
                <w:rFonts w:ascii="Calibri" w:hAnsi="Calibri" w:eastAsia="Calibri"/>
                <w:sz w:val="19"/>
              </w:rPr>
              <w:t>C. com., art. L. 237-9</w:t>
            </w:r>
          </w:p>
        </w:tc>
      </w:tr>
      <w:tr>
        <w:tc>
          <w:tcPr>
            <w:tcW w:type="dxa" w:w="3211"/>
          </w:tcPr>
          <w:p>
            <w:pPr>
              <w:spacing w:after="0" w:before="0"/>
            </w:pPr>
            <w:r>
              <w:rPr>
                <w:rFonts w:ascii="Calibri" w:hAnsi="Calibri" w:eastAsia="Calibri"/>
                <w:sz w:val="19"/>
              </w:rPr>
              <w:t>Après la clôture</w:t>
            </w:r>
          </w:p>
        </w:tc>
        <w:tc>
          <w:tcPr>
            <w:tcW w:type="dxa" w:w="3211"/>
          </w:tcPr>
          <w:p>
            <w:pPr>
              <w:spacing w:after="0" w:before="0"/>
            </w:pPr>
            <w:r>
              <w:rPr>
                <w:rFonts w:ascii="Calibri" w:hAnsi="Calibri" w:eastAsia="Calibri"/>
                <w:sz w:val="19"/>
              </w:rPr>
              <w:t>Dépôt des comptes définitifs, de la décision, de l’attestation de vigilance et du certificat fiscal ; avis de clôture</w:t>
            </w:r>
          </w:p>
        </w:tc>
        <w:tc>
          <w:tcPr>
            <w:tcW w:type="dxa" w:w="3211"/>
          </w:tcPr>
          <w:p>
            <w:pPr>
              <w:spacing w:after="0" w:before="0"/>
            </w:pPr>
            <w:r>
              <w:rPr>
                <w:rFonts w:ascii="Calibri" w:hAnsi="Calibri" w:eastAsia="Calibri"/>
                <w:sz w:val="19"/>
              </w:rPr>
              <w:t>C. com., art. R. 237-7 et R. 237-8</w:t>
            </w:r>
          </w:p>
        </w:tc>
      </w:tr>
      <w:tr>
        <w:tc>
          <w:tcPr>
            <w:tcW w:type="dxa" w:w="3211"/>
          </w:tcPr>
          <w:p>
            <w:pPr>
              <w:spacing w:after="0" w:before="0"/>
            </w:pPr>
            <w:r>
              <w:rPr>
                <w:rFonts w:ascii="Calibri" w:hAnsi="Calibri" w:eastAsia="Calibri"/>
                <w:sz w:val="19"/>
              </w:rPr>
              <w:t>Dans le mois de la publication de la clôture</w:t>
            </w:r>
          </w:p>
        </w:tc>
        <w:tc>
          <w:tcPr>
            <w:tcW w:type="dxa" w:w="3211"/>
          </w:tcPr>
          <w:p>
            <w:pPr>
              <w:spacing w:after="0" w:before="0"/>
            </w:pPr>
            <w:r>
              <w:rPr>
                <w:rFonts w:ascii="Calibri" w:hAnsi="Calibri" w:eastAsia="Calibri"/>
                <w:sz w:val="19"/>
              </w:rPr>
              <w:t>Demande de radiation</w:t>
            </w:r>
          </w:p>
        </w:tc>
        <w:tc>
          <w:tcPr>
            <w:tcW w:type="dxa" w:w="3211"/>
          </w:tcPr>
          <w:p>
            <w:pPr>
              <w:spacing w:after="0" w:before="0"/>
            </w:pPr>
            <w:r>
              <w:rPr>
                <w:rFonts w:ascii="Calibri" w:hAnsi="Calibri" w:eastAsia="Calibri"/>
                <w:sz w:val="19"/>
              </w:rPr>
              <w:t>C. com., art. R. 123-75</w:t>
            </w:r>
          </w:p>
        </w:tc>
      </w:tr>
      <w:tr>
        <w:tc>
          <w:tcPr>
            <w:tcW w:type="dxa" w:w="3211"/>
          </w:tcPr>
          <w:p>
            <w:pPr>
              <w:spacing w:after="0" w:before="0"/>
            </w:pPr>
            <w:r>
              <w:rPr>
                <w:rFonts w:ascii="Calibri" w:hAnsi="Calibri" w:eastAsia="Calibri"/>
                <w:sz w:val="19"/>
              </w:rPr>
              <w:t>Trois ans au plus</w:t>
            </w:r>
          </w:p>
        </w:tc>
        <w:tc>
          <w:tcPr>
            <w:tcW w:type="dxa" w:w="3211"/>
          </w:tcPr>
          <w:p>
            <w:pPr>
              <w:spacing w:after="0" w:before="0"/>
            </w:pPr>
            <w:r>
              <w:rPr>
                <w:rFonts w:ascii="Calibri" w:hAnsi="Calibri" w:eastAsia="Calibri"/>
                <w:sz w:val="19"/>
              </w:rPr>
              <w:t>Durée maximale du mandat du liquidateur (renouvelable) ; au-delà de trois ans sans clôture, saisine possible du tribunal</w:t>
            </w:r>
          </w:p>
        </w:tc>
        <w:tc>
          <w:tcPr>
            <w:tcW w:type="dxa" w:w="3211"/>
          </w:tcPr>
          <w:p>
            <w:pPr>
              <w:spacing w:after="0" w:before="0"/>
            </w:pPr>
            <w:r>
              <w:rPr>
                <w:rFonts w:ascii="Calibri" w:hAnsi="Calibri" w:eastAsia="Calibri"/>
                <w:sz w:val="19"/>
              </w:rPr>
              <w:t>C. com., art. L. 237-21 ; C. civ., art. 1844-8</w:t>
            </w:r>
          </w:p>
        </w:tc>
      </w:tr>
    </w:tbl>
    <w:p>
      <w:pPr>
        <w:spacing w:after="160"/>
      </w:pPr>
    </w:p>
    <w:p>
      <w:pPr>
        <w:spacing w:after="200" w:before="0"/>
        <w:jc w:val="both"/>
      </w:pPr>
      <w:r>
        <w:rPr>
          <w:rFonts w:ascii="Calibri" w:hAnsi="Calibri" w:eastAsia="Calibri"/>
          <w:i/>
          <w:color w:val="4B5563"/>
          <w:sz w:val="22"/>
        </w:rPr>
        <w:t>Le régime des articles L. 237-14 et suivants s’applique à défaut de clauses statutaires ou de convention expresse réglant la liquidation (C. com., art. L. 237-14, I) : lisez d’abord les statuts.</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Ce modèle vise la SARL et la SAS pluripersonnelles. Pour une EURL ou une SASU dont l’associé unique est une personne physique, utilisez la décision de l’associé unique ; si l’associé unique est une personne morale, la dissolution entraîne en principe la transmission universelle du patrimoine sans liquidation (C. civ., art. 1844-5, al. 3) : utilisez le modèle dédié.</w:t>
      </w:r>
    </w:p>
    <w:p>
      <w:pPr>
        <w:spacing w:after="100" w:before="0"/>
        <w:jc w:val="both"/>
      </w:pPr>
      <w:r>
        <w:rPr>
          <w:rFonts w:ascii="Calibri" w:hAnsi="Calibri" w:eastAsia="Calibri"/>
          <w:color w:val="374151"/>
          <w:sz w:val="20"/>
        </w:rPr>
        <w:t>• Convocation — SARL : les associés sont convoqués par le gérant quinze jours au moins avant la réunion, par lettre recommandée indiquant l’ordre du jour, ou par voie électronique pour ceux qui ont donné leur accord (C. com., art. R. 223-20) ; le texte des résolutions, le rapport du gérant et, le cas échéant, celui du commissaire aux comptes leur sont adressés quinze jours au moins avant l’assemblée et tenus à leur disposition au siège pendant ce délai (C. com., art. R. 223-19). Toute assemblée irrégulièrement convoquée peut être annulée ; l’action en nullité n’est toutefois pas recevable lorsque tous les associés étaient présents ou représentés (C. com., art. L. 223-27, dernier al.). SAS : suivez les modalités de convocation et d’information prévues par les statuts.</w:t>
      </w:r>
    </w:p>
    <w:p>
      <w:pPr>
        <w:spacing w:after="100" w:before="0"/>
        <w:jc w:val="both"/>
      </w:pPr>
      <w:r>
        <w:rPr>
          <w:rFonts w:ascii="Calibri" w:hAnsi="Calibri" w:eastAsia="Calibri"/>
          <w:color w:val="374151"/>
          <w:sz w:val="20"/>
        </w:rPr>
        <w:t>• Tenue de l’assemblée — SARL : l’assemblée est présidée par le gérant ou l’un des gérants ; si aucun gérant n’est associé, par l’associé présent et acceptant qui possède ou représente le plus grand nombre de parts (C. com., art. R. 223-23). Le vote par correspondance n’est possible que si les statuts l’admettent, au moyen d’un formulaire permettant de voter sur chaque résolution (C. com., art. L. 223-27, al. 1er, et R. 223-20-1-1). Si des associés participent par visioconférence, le procès-verbal fait état de tout incident technique ayant perturbé l’assemblée (C. com., art. R. 223-24).</w:t>
      </w:r>
    </w:p>
    <w:p>
      <w:pPr>
        <w:spacing w:after="100" w:before="0"/>
        <w:jc w:val="both"/>
      </w:pPr>
      <w:r>
        <w:rPr>
          <w:rFonts w:ascii="Calibri" w:hAnsi="Calibri" w:eastAsia="Calibri"/>
          <w:color w:val="374151"/>
          <w:sz w:val="20"/>
        </w:rPr>
        <w:t>• Majorité de la dissolution — SARL : le code de commerce ne fixe pas de majorité propre à la dissolution anticipée volontaire ; elle abrège la durée prévue par les statuts, et la prudence conduit à appliquer les conditions de la modification des statuts (C. com., art. L. 223-30 : trois quarts des parts ou, pour les SARL constituées après la loi du 2 août 2005, quorum d’un quart puis d’un cinquième et majorité des deux tiers des parts des associés présents ou représentés). Dans une SARL constituée avant la loi du 2 août 2005 (sauf option unanime pour le régime nouveau), une clause exigeant une majorité supérieure aux trois quarts des parts est réputée non écrite ; dans les autres, les statuts peuvent prévoir un quorum ou une majorité plus élevés, sans pouvoir exiger l’unanimité (même article). La fiche service-public F23744 retient une autre formule (« majorité des parts + 1 part ») : lisez les statuts ; réunir en fait l’accord de tous les associés reste la voie la plus sûre.</w:t>
      </w:r>
    </w:p>
    <w:p>
      <w:pPr>
        <w:spacing w:after="100" w:before="0"/>
        <w:jc w:val="both"/>
      </w:pPr>
      <w:r>
        <w:rPr>
          <w:rFonts w:ascii="Calibri" w:hAnsi="Calibri" w:eastAsia="Calibri"/>
          <w:color w:val="374151"/>
          <w:sz w:val="20"/>
        </w:rPr>
        <w:t>• Majorité de la dissolution — SAS : la dissolution relève obligatoirement d’une décision collective des associés, prise dans les conditions prévues par les statuts (C. com., art. L. 227-9). Lisez la clause des statuts ; service-public indique l’unanimité à défaut de clause.</w:t>
      </w:r>
    </w:p>
    <w:p>
      <w:pPr>
        <w:spacing w:after="100" w:before="0"/>
        <w:jc w:val="both"/>
      </w:pPr>
      <w:r>
        <w:rPr>
          <w:rFonts w:ascii="Calibri" w:hAnsi="Calibri" w:eastAsia="Calibri"/>
          <w:color w:val="374151"/>
          <w:sz w:val="20"/>
        </w:rPr>
        <w:t>• Nomination du liquidateur : si les statuts ne règlent pas la liquidation, il est nommé à la majorité en capital des associés dans la SARL et à l’unanimité, sauf clause contraire, dans la SAS (C. com., art. L. 237-18). Les mentions exigées pour sa publicité visent une personne physique (nom, prénom usuel et domicile : C. com., art. R. 237-2, 7°, et R. 123-263, 5°) ; si vous envisagez de nommer une personne morale, faites relire ce choix avant la décision. Sa rémunération est fixée par la décision qui le nomme (C. com., art. R. 237-14).</w:t>
      </w:r>
    </w:p>
    <w:p>
      <w:pPr>
        <w:spacing w:after="100" w:before="0"/>
        <w:jc w:val="both"/>
      </w:pPr>
      <w:r>
        <w:rPr>
          <w:rFonts w:ascii="Calibri" w:hAnsi="Calibri" w:eastAsia="Calibri"/>
          <w:color w:val="374151"/>
          <w:sz w:val="20"/>
        </w:rPr>
        <w:t>• La liquidation amiable suppose que la société puisse payer toutes ses dettes. Si elle est en cessation des paiements, l’ouverture d’une procédure collective doit être demandée au plus tard dans les quarante-cinq jours, sauf demande de conciliation dans ce délai (C. com., art. L. 631-4) : consultez sans attendre.</w:t>
      </w:r>
    </w:p>
    <w:p>
      <w:pPr>
        <w:spacing w:after="100" w:before="0"/>
        <w:jc w:val="both"/>
      </w:pPr>
      <w:r>
        <w:rPr>
          <w:rFonts w:ascii="Calibri" w:hAnsi="Calibri" w:eastAsia="Calibri"/>
          <w:color w:val="374151"/>
          <w:sz w:val="20"/>
        </w:rPr>
        <w:t>• Formalités : avis dans un support habilité dans le mois (forfait 2026 de 153 € HT en métropole pour la nomination des liquidateurs, selon l’arrêté du 19 novembre 2021 modifié), puis déclaration au guichet unique dans le mois (C. com., art. R. 123-66). Service-public (F23744) liste les pièces : procès-verbal, attestation de parution, déclaration sur l’honneur de non-condamnation et de filiation du liquidateur, copie de sa pièce d’identité. Dans une SAS, le liquidateur porte en outre, par simple lettre, les indications de l’avis à la connaissance des porteurs d’actions et d’obligations nominatives (C. com., art. R. 237-2, dernier al.).</w:t>
      </w:r>
    </w:p>
    <w:p>
      <w:pPr>
        <w:spacing w:after="100" w:before="0"/>
        <w:jc w:val="both"/>
      </w:pPr>
      <w:r>
        <w:rPr>
          <w:rFonts w:ascii="Calibri" w:hAnsi="Calibri" w:eastAsia="Calibri"/>
          <w:color w:val="374151"/>
          <w:sz w:val="20"/>
        </w:rPr>
        <w:t>• Enregistrement : l’article 635 du code général des impôts, dans sa version en vigueur, ne mentionne pas l’acte de dissolution parmi les actes à enregistrer dans le mois ; le partage final entre associés, lui, devra l’être (voir le modèle de clôture).</w:t>
      </w:r>
    </w:p>
    <w:p>
      <w:pPr>
        <w:spacing w:after="100" w:before="0"/>
        <w:jc w:val="both"/>
      </w:pPr>
      <w:r>
        <w:rPr>
          <w:rFonts w:ascii="Calibri" w:hAnsi="Calibri" w:eastAsia="Calibri"/>
          <w:color w:val="374151"/>
          <w:sz w:val="20"/>
        </w:rPr>
        <w:t>• Pièges : cession de tout ou partie de l’actif à une personne ayant eu dans la société la qualité d’associé en nom, de commandité, de gérant, d’administrateur, de directeur général, de membre du conseil de surveillance ou du directoire, de commissaire aux comptes ou de contrôleur, sans consentement unanime des associés ni autorisation du tribunal de commerce, le liquidateur et, s’il en existe, le commissaire aux comptes ou le contrôleur dûment entendus (C. com., art. L. 237-6) — faites relire toute cession envisagée au profit d’un ancien dirigeant ou d’un associé ; cession au liquidateur, à ses employés ou à leurs proches, interdite (C. com., art. L. 237-7) ; oubli du rapport à six mois (le juge déchoit alors le liquidateur de tout ou partie de son droit à rémunération et peut le révoquer : C. com., art. L. 237-23).</w:t>
      </w:r>
    </w:p>
    <w:p>
      <w:pPr>
        <w:spacing w:after="100" w:before="0"/>
        <w:jc w:val="both"/>
      </w:pPr>
      <w:r>
        <w:rPr>
          <w:rFonts w:ascii="Calibri" w:hAnsi="Calibri" w:eastAsia="Calibri"/>
          <w:color w:val="374151"/>
          <w:sz w:val="20"/>
        </w:rPr>
        <w:t>• La dissolution ne résilie pas de plein droit les baux des locaux (C. com., art. L. 237-5) : prévoyez leur résiliation ou leur cession. S’il y a des salariés, les contrats de travail ne prennent pas fin d’eux-mêmes : une procédure de licenciement pour motif économique est nécessaire (service-public, F23744).</w:t>
      </w:r>
    </w:p>
    <w:p>
      <w:pPr>
        <w:spacing w:after="100" w:before="0"/>
        <w:jc w:val="both"/>
      </w:pPr>
      <w:r>
        <w:rPr>
          <w:rFonts w:ascii="Calibri" w:hAnsi="Calibri" w:eastAsia="Calibri"/>
          <w:color w:val="374151"/>
          <w:sz w:val="20"/>
        </w:rPr>
        <w:t>• Pour une SNC, une SCI ou une autre société civile, les règles de majorité et de liquidation sont différentes (C. civ., art. 1836, 1844-8 et 1844-9 ; C. com., art. L. 237-18, II, 1°) : ne réutilisez pas ce modèle sans adaptation.</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Conservez l’original signé au siège (registre des décisions ou registre des procès-verbaux).</w:t>
      </w:r>
    </w:p>
    <w:p>
      <w:pPr>
        <w:spacing w:after="100" w:before="0"/>
        <w:jc w:val="both"/>
      </w:pPr>
      <w:r>
        <w:rPr>
          <w:rFonts w:ascii="Calibri" w:hAnsi="Calibri" w:eastAsia="Calibri"/>
          <w:color w:val="374151"/>
          <w:sz w:val="20"/>
        </w:rPr>
        <w:t>• Ce modèle est une base de travail : il ne remplace pas un conseil adapté à la situation de la société. Faites relire l’acte par un avocat avant signature, en particulier si la société a des dettes, des salariés, des biens immobiliers, un litige en cours ou plusieurs associés en désaccord.</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 d’AGE — dissolution anticipée et nomination du liquidateur (SARL / SAS)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