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4"/>
        </w:rPr>
        <w:t>NOTE PRATIQUE — DEMANDER L’AIDE JURIDICTIONNELLE</w:t>
      </w:r>
    </w:p>
    <w:p>
      <w:pPr>
        <w:spacing w:after="280" w:before="0"/>
        <w:jc w:val="center"/>
      </w:pPr>
      <w:r>
        <w:rPr>
          <w:rFonts w:ascii="Calibri" w:hAnsi="Calibri" w:eastAsia="Calibri"/>
          <w:b/>
          <w:sz w:val="22"/>
        </w:rPr>
        <w:t>Cabinet Gasimov — Avocat à Strasbourg</w:t>
      </w:r>
    </w:p>
    <w:p>
      <w:pPr>
        <w:spacing w:after="240" w:before="0"/>
        <w:jc w:val="both"/>
      </w:pPr>
      <w:r>
        <w:rPr>
          <w:rFonts w:ascii="Calibri" w:hAnsi="Calibri" w:eastAsia="Calibri"/>
          <w:sz w:val="22"/>
        </w:rPr>
        <w:t>Repères informatifs pour demander l’aide juridictionnelle (prise en charge totale ou partielle des frais de justice et d’avocat, selon vos ressources). Cette note ne reproduit pas le formulaire Cerfa officiel et ne remplace pas un conseil personnalisé.</w:t>
      </w:r>
    </w:p>
    <w:p>
      <w:pPr>
        <w:spacing w:after="80" w:before="0"/>
      </w:pPr>
      <w:r>
        <w:rPr>
          <w:rFonts w:ascii="Calibri" w:hAnsi="Calibri" w:eastAsia="Calibri"/>
          <w:b/>
          <w:sz w:val="22"/>
        </w:rPr>
        <w:t>1. À quoi sert l’aide juridictionnelle ?</w:t>
      </w:r>
    </w:p>
    <w:p>
      <w:pPr>
        <w:spacing w:after="80" w:before="0"/>
        <w:jc w:val="both"/>
      </w:pPr>
      <w:r>
        <w:rPr>
          <w:rFonts w:ascii="Calibri" w:hAnsi="Calibri" w:eastAsia="Calibri"/>
          <w:sz w:val="22"/>
        </w:rPr>
        <w:t>Elle permet, si vos ressources sont inférieures à des plafonds fixés chaque année, d’obtenir la prise en charge par l’État de tout ou partie des honoraires d’avocat et de certains frais de procédure (expertise, commissaire de justice, etc.), dans les conditions prévues par la loi.</w:t>
      </w:r>
    </w:p>
    <w:p>
      <w:pPr>
        <w:spacing w:after="240" w:before="0"/>
        <w:jc w:val="both"/>
      </w:pPr>
      <w:r>
        <w:rPr>
          <w:rFonts w:ascii="Calibri" w:hAnsi="Calibri" w:eastAsia="Calibri"/>
          <w:sz w:val="22"/>
        </w:rPr>
        <w:t>Elle peut être totale ou partielle. En cas d’aide partielle, vous restez redevable d’une part des honoraires, selon le barème applicable.</w:t>
      </w:r>
    </w:p>
    <w:p>
      <w:pPr>
        <w:spacing w:after="80" w:before="0"/>
      </w:pPr>
      <w:r>
        <w:rPr>
          <w:rFonts w:ascii="Calibri" w:hAnsi="Calibri" w:eastAsia="Calibri"/>
          <w:b/>
          <w:sz w:val="22"/>
        </w:rPr>
        <w:t>2. Qui peut en bénéficier ?</w:t>
      </w:r>
    </w:p>
    <w:p>
      <w:pPr>
        <w:spacing w:after="40" w:before="0"/>
        <w:jc w:val="both"/>
      </w:pPr>
      <w:r>
        <w:rPr>
          <w:rFonts w:ascii="Calibri" w:hAnsi="Calibri" w:eastAsia="Calibri"/>
          <w:sz w:val="22"/>
        </w:rPr>
        <w:t xml:space="preserve">– </w:t>
      </w:r>
      <w:r>
        <w:rPr>
          <w:rFonts w:ascii="Calibri" w:hAnsi="Calibri" w:eastAsia="Calibri"/>
          <w:sz w:val="22"/>
        </w:rPr>
        <w:t>Les personnes physiques dont les ressources sont inférieures aux plafonds en vigueur (des majorations existent selon la composition du foyer).</w:t>
      </w:r>
    </w:p>
    <w:p>
      <w:pPr>
        <w:spacing w:after="40" w:before="0"/>
        <w:jc w:val="both"/>
      </w:pPr>
      <w:r>
        <w:rPr>
          <w:rFonts w:ascii="Calibri" w:hAnsi="Calibri" w:eastAsia="Calibri"/>
          <w:sz w:val="22"/>
        </w:rPr>
        <w:t xml:space="preserve">– </w:t>
      </w:r>
      <w:r>
        <w:rPr>
          <w:rFonts w:ascii="Calibri" w:hAnsi="Calibri" w:eastAsia="Calibri"/>
          <w:sz w:val="22"/>
        </w:rPr>
        <w:t>Sous conditions, certaines personnes morales à but non lucratif.</w:t>
      </w:r>
    </w:p>
    <w:p>
      <w:pPr>
        <w:spacing w:after="160" w:before="0"/>
        <w:jc w:val="both"/>
      </w:pPr>
      <w:r>
        <w:rPr>
          <w:rFonts w:ascii="Calibri" w:hAnsi="Calibri" w:eastAsia="Calibri"/>
          <w:sz w:val="22"/>
        </w:rPr>
        <w:t xml:space="preserve">– </w:t>
      </w:r>
      <w:r>
        <w:rPr>
          <w:rFonts w:ascii="Calibri" w:hAnsi="Calibri" w:eastAsia="Calibri"/>
          <w:sz w:val="22"/>
        </w:rPr>
        <w:t>Des admissions sans condition de ressources existent pour certaines procédures particulières (renseignez-vous sur service-public.fr ou auprès du bureau d’aide juridictionnelle).</w:t>
      </w:r>
    </w:p>
    <w:p>
      <w:pPr>
        <w:spacing w:after="240" w:before="0"/>
        <w:jc w:val="both"/>
      </w:pPr>
      <w:r>
        <w:rPr>
          <w:rFonts w:ascii="Calibri" w:hAnsi="Calibri" w:eastAsia="Calibri"/>
          <w:sz w:val="22"/>
        </w:rPr>
        <w:t>Les plafonds et les cas d’admission sans condition de ressources évoluent : ne recopiez aucun montant. Utilisez le simulateur officiel d’aide juridictionnelle sur service-public.fr (ou justice.fr) et la fiche service-public.fr relative à l’aide juridictionnelle.</w:t>
      </w:r>
    </w:p>
    <w:p>
      <w:pPr>
        <w:spacing w:after="80" w:before="0"/>
      </w:pPr>
      <w:r>
        <w:rPr>
          <w:rFonts w:ascii="Calibri" w:hAnsi="Calibri" w:eastAsia="Calibri"/>
          <w:b/>
          <w:sz w:val="22"/>
        </w:rPr>
        <w:t>3. Comment déposer la demande ?</w:t>
      </w:r>
    </w:p>
    <w:p>
      <w:pPr>
        <w:spacing w:after="80" w:before="0"/>
        <w:jc w:val="both"/>
      </w:pPr>
      <w:r>
        <w:rPr>
          <w:rFonts w:ascii="Calibri" w:hAnsi="Calibri" w:eastAsia="Calibri"/>
          <w:sz w:val="22"/>
        </w:rPr>
        <w:t>Utilisez exclusivement le formulaire Cerfa officiel en vigueur, disponible sur service-public.fr ou au tribunal. Ne recopiez pas un ancien formulaire trouvé sur internet : les Cerfa sont mis à jour.</w:t>
      </w:r>
    </w:p>
    <w:p>
      <w:pPr>
        <w:spacing w:after="40" w:before="0"/>
        <w:jc w:val="both"/>
      </w:pPr>
      <w:r>
        <w:rPr>
          <w:rFonts w:ascii="Calibri" w:hAnsi="Calibri" w:eastAsia="Calibri"/>
          <w:sz w:val="22"/>
        </w:rPr>
        <w:t xml:space="preserve">– </w:t>
      </w:r>
      <w:r>
        <w:rPr>
          <w:rFonts w:ascii="Calibri" w:hAnsi="Calibri" w:eastAsia="Calibri"/>
          <w:b/>
          <w:sz w:val="22"/>
        </w:rPr>
        <w:t xml:space="preserve">Où déposer ? </w:t>
      </w:r>
      <w:r>
        <w:rPr>
          <w:rFonts w:ascii="Calibri" w:hAnsi="Calibri" w:eastAsia="Calibri"/>
          <w:sz w:val="22"/>
        </w:rPr>
        <w:t>en principe auprès du bureau d’aide juridictionnelle (BAJ) du tribunal judiciaire compétent pour votre affaire. Dans certains contentieux, le dépôt suit des règles particulières (renseignez-vous auprès du greffe ou de votre avocat).</w:t>
      </w:r>
    </w:p>
    <w:p>
      <w:pPr>
        <w:spacing w:after="40" w:before="0"/>
        <w:jc w:val="both"/>
      </w:pPr>
      <w:r>
        <w:rPr>
          <w:rFonts w:ascii="Calibri" w:hAnsi="Calibri" w:eastAsia="Calibri"/>
          <w:sz w:val="22"/>
        </w:rPr>
        <w:t xml:space="preserve">– </w:t>
      </w:r>
      <w:r>
        <w:rPr>
          <w:rFonts w:ascii="Calibri" w:hAnsi="Calibri" w:eastAsia="Calibri"/>
          <w:b/>
          <w:sz w:val="22"/>
        </w:rPr>
        <w:t xml:space="preserve">Pièces : </w:t>
      </w:r>
      <w:r>
        <w:rPr>
          <w:rFonts w:ascii="Calibri" w:hAnsi="Calibri" w:eastAsia="Calibri"/>
          <w:sz w:val="22"/>
        </w:rPr>
        <w:t>suivez la notice du Cerfa (avis d’imposition, justificatifs de ressources et de charges, pièce d’identité, éléments sur la procédure…). N’inventez pas une liste : joignez ce que demande la notice en vigueur.</w:t>
      </w:r>
    </w:p>
    <w:p>
      <w:pPr>
        <w:spacing w:after="240" w:before="0"/>
        <w:jc w:val="both"/>
      </w:pPr>
      <w:r>
        <w:rPr>
          <w:rFonts w:ascii="Calibri" w:hAnsi="Calibri" w:eastAsia="Calibri"/>
          <w:sz w:val="22"/>
        </w:rPr>
        <w:t xml:space="preserve">– </w:t>
      </w:r>
      <w:r>
        <w:rPr>
          <w:rFonts w:ascii="Calibri" w:hAnsi="Calibri" w:eastAsia="Calibri"/>
          <w:b/>
          <w:sz w:val="22"/>
        </w:rPr>
        <w:t xml:space="preserve">Avocat : </w:t>
      </w:r>
      <w:r>
        <w:rPr>
          <w:rFonts w:ascii="Calibri" w:hAnsi="Calibri" w:eastAsia="Calibri"/>
          <w:sz w:val="22"/>
        </w:rPr>
        <w:t>vous pouvez indiquer le nom de l’avocat que vous avez choisi s’il accepte l’aide juridictionnelle ; à défaut, un avocat peut vous être désigné.</w:t>
      </w:r>
    </w:p>
    <w:p>
      <w:pPr>
        <w:spacing w:after="80" w:before="0"/>
      </w:pPr>
      <w:r>
        <w:rPr>
          <w:rFonts w:ascii="Calibri" w:hAnsi="Calibri" w:eastAsia="Calibri"/>
          <w:b/>
          <w:sz w:val="22"/>
        </w:rPr>
        <w:t>4. Effets pratiques</w:t>
      </w:r>
    </w:p>
    <w:p>
      <w:pPr>
        <w:spacing w:after="40" w:before="0"/>
        <w:jc w:val="both"/>
      </w:pPr>
      <w:r>
        <w:rPr>
          <w:rFonts w:ascii="Calibri" w:hAnsi="Calibri" w:eastAsia="Calibri"/>
          <w:sz w:val="22"/>
        </w:rPr>
        <w:t xml:space="preserve">– </w:t>
      </w:r>
      <w:r>
        <w:rPr>
          <w:rFonts w:ascii="Calibri" w:hAnsi="Calibri" w:eastAsia="Calibri"/>
          <w:sz w:val="22"/>
        </w:rPr>
        <w:t>Déposez la demande le plus tôt possible. Selon les cas, le dépôt peut interrompre ou suspendre certains délais : vérifiez le régime applicable à votre procédure, car ce n’est pas automatique pour tous les délais.</w:t>
      </w:r>
    </w:p>
    <w:p>
      <w:pPr>
        <w:spacing w:after="40" w:before="0"/>
        <w:jc w:val="both"/>
      </w:pPr>
      <w:r>
        <w:rPr>
          <w:rFonts w:ascii="Calibri" w:hAnsi="Calibri" w:eastAsia="Calibri"/>
          <w:sz w:val="22"/>
        </w:rPr>
        <w:t xml:space="preserve">– </w:t>
      </w:r>
      <w:r>
        <w:rPr>
          <w:rFonts w:ascii="Calibri" w:hAnsi="Calibri" w:eastAsia="Calibri"/>
          <w:sz w:val="22"/>
        </w:rPr>
        <w:t>Conservez le récépissé de dépôt et la décision d’admission (ou de rejet).</w:t>
      </w:r>
    </w:p>
    <w:p>
      <w:pPr>
        <w:spacing w:after="40" w:before="0"/>
        <w:jc w:val="both"/>
      </w:pPr>
      <w:r>
        <w:rPr>
          <w:rFonts w:ascii="Calibri" w:hAnsi="Calibri" w:eastAsia="Calibri"/>
          <w:sz w:val="22"/>
        </w:rPr>
        <w:t xml:space="preserve">– </w:t>
      </w:r>
      <w:r>
        <w:rPr>
          <w:rFonts w:ascii="Calibri" w:hAnsi="Calibri" w:eastAsia="Calibri"/>
          <w:sz w:val="22"/>
        </w:rPr>
        <w:t>Un rejet peut faire l’objet d’un recours dans les conditions indiquées dans la décision.</w:t>
      </w:r>
    </w:p>
    <w:p>
      <w:pPr>
        <w:spacing w:after="240" w:before="0"/>
        <w:jc w:val="both"/>
      </w:pPr>
      <w:r>
        <w:rPr>
          <w:rFonts w:ascii="Calibri" w:hAnsi="Calibri" w:eastAsia="Calibri"/>
          <w:sz w:val="22"/>
        </w:rPr>
        <w:t xml:space="preserve">– </w:t>
      </w:r>
      <w:r>
        <w:rPr>
          <w:rFonts w:ascii="Calibri" w:hAnsi="Calibri" w:eastAsia="Calibri"/>
          <w:sz w:val="22"/>
        </w:rPr>
        <w:t>L’aide juridictionnelle n’exonère pas des obligations procédurales (délais de recours, formes des actes).</w:t>
      </w:r>
    </w:p>
    <w:p>
      <w:pPr>
        <w:spacing w:after="80" w:before="0"/>
      </w:pPr>
      <w:r>
        <w:rPr>
          <w:rFonts w:ascii="Calibri" w:hAnsi="Calibri" w:eastAsia="Calibri"/>
          <w:b/>
          <w:sz w:val="22"/>
        </w:rPr>
        <w:t>5. Ce que cette note ne fait pas</w:t>
      </w:r>
    </w:p>
    <w:p>
      <w:pPr>
        <w:spacing w:after="40" w:before="0"/>
        <w:jc w:val="both"/>
      </w:pPr>
      <w:r>
        <w:rPr>
          <w:rFonts w:ascii="Calibri" w:hAnsi="Calibri" w:eastAsia="Calibri"/>
          <w:sz w:val="22"/>
        </w:rPr>
        <w:t xml:space="preserve">– </w:t>
      </w:r>
      <w:r>
        <w:rPr>
          <w:rFonts w:ascii="Calibri" w:hAnsi="Calibri" w:eastAsia="Calibri"/>
          <w:sz w:val="22"/>
        </w:rPr>
        <w:t>Elle ne remplace pas le Cerfa ni sa notice.</w:t>
      </w:r>
    </w:p>
    <w:p>
      <w:pPr>
        <w:spacing w:after="40" w:before="0"/>
        <w:jc w:val="both"/>
      </w:pPr>
      <w:r>
        <w:rPr>
          <w:rFonts w:ascii="Calibri" w:hAnsi="Calibri" w:eastAsia="Calibri"/>
          <w:sz w:val="22"/>
        </w:rPr>
        <w:t xml:space="preserve">– </w:t>
      </w:r>
      <w:r>
        <w:rPr>
          <w:rFonts w:ascii="Calibri" w:hAnsi="Calibri" w:eastAsia="Calibri"/>
          <w:sz w:val="22"/>
        </w:rPr>
        <w:t>Elle ne calcule pas vos droits : seuls le BAJ et les textes en vigueur déterminent l’admission.</w:t>
      </w:r>
    </w:p>
    <w:p>
      <w:pPr>
        <w:spacing w:after="240" w:before="0"/>
        <w:jc w:val="both"/>
      </w:pPr>
      <w:r>
        <w:rPr>
          <w:rFonts w:ascii="Calibri" w:hAnsi="Calibri" w:eastAsia="Calibri"/>
          <w:sz w:val="22"/>
        </w:rPr>
        <w:t xml:space="preserve">– </w:t>
      </w:r>
      <w:r>
        <w:rPr>
          <w:rFonts w:ascii="Calibri" w:hAnsi="Calibri" w:eastAsia="Calibri"/>
          <w:sz w:val="22"/>
        </w:rPr>
        <w:t>Elle ne constitue pas une convention d’honoraires ni un engagement du cabinet.</w:t>
      </w:r>
    </w:p>
    <w:p>
      <w:pPr>
        <w:spacing w:after="80" w:before="0"/>
      </w:pPr>
      <w:r>
        <w:rPr>
          <w:rFonts w:ascii="Calibri" w:hAnsi="Calibri" w:eastAsia="Calibri"/>
          <w:b/>
          <w:sz w:val="22"/>
        </w:rPr>
        <w:t>Check-list</w:t>
      </w:r>
    </w:p>
    <w:p>
      <w:pPr>
        <w:spacing w:after="40" w:before="0"/>
        <w:jc w:val="both"/>
      </w:pPr>
      <w:r>
        <w:rPr>
          <w:rFonts w:ascii="Calibri" w:hAnsi="Calibri" w:eastAsia="Calibri"/>
          <w:sz w:val="22"/>
        </w:rPr>
        <w:t>☐ éligibilité vérifiée via le simulateur officiel ; Cerfa 16146 téléchargé sur service-public.fr (version en vigueur) ;</w:t>
      </w:r>
      <w:r>
        <w:rPr>
          <w:rFonts w:ascii="Calibri" w:hAnsi="Calibri" w:eastAsia="Calibri"/>
          <w:sz w:val="22"/>
        </w:rPr>
      </w:r>
    </w:p>
    <w:p>
      <w:pPr>
        <w:spacing w:after="40" w:before="0"/>
        <w:jc w:val="both"/>
      </w:pPr>
      <w:r>
        <w:rPr>
          <w:rFonts w:ascii="Calibri" w:hAnsi="Calibri" w:eastAsia="Calibri"/>
          <w:sz w:val="22"/>
        </w:rPr>
        <w:t xml:space="preserve">☐ </w:t>
      </w:r>
      <w:r>
        <w:rPr>
          <w:rFonts w:ascii="Calibri" w:hAnsi="Calibri" w:eastAsia="Calibri"/>
          <w:sz w:val="22"/>
        </w:rPr>
        <w:t>notice du Cerfa lue ; pièces listées par la notice réunies ;</w:t>
      </w:r>
    </w:p>
    <w:p>
      <w:pPr>
        <w:spacing w:after="40" w:before="0"/>
        <w:jc w:val="both"/>
      </w:pPr>
      <w:r>
        <w:rPr>
          <w:rFonts w:ascii="Calibri" w:hAnsi="Calibri" w:eastAsia="Calibri"/>
          <w:sz w:val="22"/>
        </w:rPr>
        <w:t xml:space="preserve">☐ </w:t>
      </w:r>
      <w:r>
        <w:rPr>
          <w:rFonts w:ascii="Calibri" w:hAnsi="Calibri" w:eastAsia="Calibri"/>
          <w:sz w:val="22"/>
        </w:rPr>
        <w:t>tribunal / BAJ compétent identifié ;</w:t>
      </w:r>
    </w:p>
    <w:p>
      <w:pPr>
        <w:spacing w:after="40" w:before="0"/>
        <w:jc w:val="both"/>
      </w:pPr>
      <w:r>
        <w:rPr>
          <w:rFonts w:ascii="Calibri" w:hAnsi="Calibri" w:eastAsia="Calibri"/>
          <w:sz w:val="22"/>
        </w:rPr>
        <w:t xml:space="preserve">☐ </w:t>
      </w:r>
      <w:r>
        <w:rPr>
          <w:rFonts w:ascii="Calibri" w:hAnsi="Calibri" w:eastAsia="Calibri"/>
          <w:sz w:val="22"/>
        </w:rPr>
        <w:t>avocat contacté (s’il accepte l’AJ) ou demande de désignation prévue ;</w:t>
      </w:r>
    </w:p>
    <w:p>
      <w:pPr>
        <w:spacing w:after="40" w:before="0"/>
        <w:jc w:val="both"/>
      </w:pPr>
      <w:r>
        <w:rPr>
          <w:rFonts w:ascii="Calibri" w:hAnsi="Calibri" w:eastAsia="Calibri"/>
          <w:sz w:val="22"/>
        </w:rPr>
        <w:t xml:space="preserve">☐ </w:t>
      </w:r>
      <w:r>
        <w:rPr>
          <w:rFonts w:ascii="Calibri" w:hAnsi="Calibri" w:eastAsia="Calibri"/>
          <w:sz w:val="22"/>
        </w:rPr>
        <w:t>copie du dossier et récépissé de dépôt conservés ;</w:t>
      </w:r>
    </w:p>
    <w:p>
      <w:pPr>
        <w:spacing w:after="40" w:before="0"/>
        <w:jc w:val="both"/>
      </w:pPr>
      <w:r>
        <w:rPr>
          <w:rFonts w:ascii="Calibri" w:hAnsi="Calibri" w:eastAsia="Calibri"/>
          <w:sz w:val="22"/>
        </w:rPr>
        <w:t xml:space="preserve">☐ </w:t>
      </w:r>
      <w:r>
        <w:rPr>
          <w:rFonts w:ascii="Calibri" w:hAnsi="Calibri" w:eastAsia="Calibri"/>
          <w:sz w:val="22"/>
        </w:rPr>
        <w:t>dates de procédure (recours, audience) notées séparément.</w:t>
      </w:r>
    </w:p>
    <w:p>
      <w:pPr>
        <w:spacing w:after="160"/>
      </w:pPr>
    </w:p>
    <w:p>
      <w:pPr>
        <w:spacing w:after="80" w:before="0"/>
      </w:pPr>
      <w:r>
        <w:rPr>
          <w:rFonts w:ascii="Calibri" w:hAnsi="Calibri" w:eastAsia="Calibri"/>
          <w:b/>
          <w:sz w:val="22"/>
        </w:rPr>
        <w:t>Avertissement</w:t>
      </w:r>
    </w:p>
    <w:p>
      <w:pPr>
        <w:spacing w:after="160" w:before="0"/>
        <w:jc w:val="both"/>
      </w:pPr>
      <w:r>
        <w:rPr>
          <w:rFonts w:ascii="Calibri" w:hAnsi="Calibri" w:eastAsia="Calibri"/>
          <w:sz w:val="22"/>
        </w:rPr>
        <w:t>Les conditions d’admission, les plafonds de ressources et les effets sur les délais varient selon la procédure et peuvent changer. En cas de doute, renseignez-vous auprès du bureau d’aide juridictionnelle ou d’un avocat.</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Téléchargez toujours le Cerfa 16146 et sa notice sur service-public.fr (ou justice.fr). Ne remplissez pas un formulaire photocopié d’origine inconnue. Un exemplaire de la version observée figure aussi dans la rubrique « Formulaires officiels » de cette page, à vérifier avant usage.</w:t>
      </w:r>
    </w:p>
    <w:p>
      <w:pPr>
        <w:spacing w:after="100" w:before="0"/>
        <w:jc w:val="both"/>
      </w:pPr>
      <w:r>
        <w:rPr>
          <w:rFonts w:ascii="Calibri" w:hAnsi="Calibri" w:eastAsia="Calibri"/>
          <w:color w:val="374151"/>
          <w:sz w:val="20"/>
        </w:rPr>
        <w:t>• Si vous avez déjà un avocat, demandez-lui s’il accepte l’aide juridictionnelle pour votre dossier et quelles pièces joindre.</w:t>
      </w:r>
    </w:p>
    <w:p>
      <w:pPr>
        <w:spacing w:after="100" w:before="0"/>
        <w:jc w:val="both"/>
      </w:pPr>
      <w:r>
        <w:rPr>
          <w:rFonts w:ascii="Calibri" w:hAnsi="Calibri" w:eastAsia="Calibri"/>
          <w:color w:val="374151"/>
          <w:sz w:val="20"/>
        </w:rPr>
        <w:t>• Pour une urgence (référé, OQTF, audience proche), signalez-le clairement au BAJ et à votre avocat : les délais de traitement administratifs ne suspendent pas toujours l’urgence judiciaire.</w:t>
      </w:r>
    </w:p>
    <w:p>
      <w:pPr>
        <w:spacing w:after="100" w:before="0"/>
        <w:jc w:val="both"/>
      </w:pPr>
      <w:r>
        <w:rPr>
          <w:rFonts w:ascii="Calibri" w:hAnsi="Calibri" w:eastAsia="Calibri"/>
          <w:color w:val="374151"/>
          <w:sz w:val="20"/>
        </w:rPr>
        <w:t>• Cette note est informative et peut devenir incomplète en cas d’évolution des textes.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pratique — demander l’aide juridictionnelle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