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FICHE PRATIQUE — VICTIME D’UNE INFRACTION : VOS DÉMARCHES</w:t>
      </w:r>
    </w:p>
    <w:p>
      <w:pPr>
        <w:spacing w:after="280" w:before="0"/>
        <w:jc w:val="center"/>
      </w:pPr>
      <w:r>
        <w:rPr>
          <w:rFonts w:ascii="Calibri" w:hAnsi="Calibri" w:eastAsia="Calibri"/>
          <w:b/>
          <w:sz w:val="22"/>
        </w:rPr>
        <w:t>Cabinet Gasimov — Avocat à Strasbourg</w:t>
      </w:r>
    </w:p>
    <w:p>
      <w:pPr>
        <w:spacing w:after="240" w:before="0"/>
        <w:jc w:val="both"/>
      </w:pPr>
      <w:r>
        <w:rPr>
          <w:rFonts w:ascii="Calibri" w:hAnsi="Calibri" w:eastAsia="Calibri"/>
          <w:sz w:val="22"/>
        </w:rPr>
        <w:t>Repères informatifs pour la personne victime d’une infraction (vol, cambriolage, violences, escroquerie, harcèlement, menaces…). Cette fiche présente le parcours général ; elle ne remplace pas un conseil personnalisé.</w:t>
      </w:r>
    </w:p>
    <w:p>
      <w:pPr>
        <w:spacing w:after="80" w:before="0"/>
      </w:pPr>
      <w:r>
        <w:rPr>
          <w:rFonts w:ascii="Calibri" w:hAnsi="Calibri" w:eastAsia="Calibri"/>
          <w:b/>
          <w:sz w:val="22"/>
        </w:rPr>
        <w:t>1. En cas d’urgence</w:t>
      </w:r>
    </w:p>
    <w:p>
      <w:pPr>
        <w:spacing w:after="40" w:before="0"/>
        <w:jc w:val="both"/>
      </w:pPr>
      <w:r>
        <w:rPr>
          <w:rFonts w:ascii="Calibri" w:hAnsi="Calibri" w:eastAsia="Calibri"/>
          <w:sz w:val="22"/>
        </w:rPr>
        <w:t xml:space="preserve">– </w:t>
      </w:r>
      <w:r>
        <w:rPr>
          <w:rFonts w:ascii="Calibri" w:hAnsi="Calibri" w:eastAsia="Calibri"/>
          <w:b/>
          <w:sz w:val="22"/>
        </w:rPr>
        <w:t>17</w:t>
      </w:r>
      <w:r>
        <w:rPr>
          <w:rFonts w:ascii="Calibri" w:hAnsi="Calibri" w:eastAsia="Calibri"/>
          <w:sz w:val="22"/>
        </w:rPr>
        <w:t xml:space="preserve"> police ou gendarmerie — </w:t>
      </w:r>
      <w:r>
        <w:rPr>
          <w:rFonts w:ascii="Calibri" w:hAnsi="Calibri" w:eastAsia="Calibri"/>
          <w:b/>
          <w:sz w:val="22"/>
        </w:rPr>
        <w:t>15</w:t>
      </w:r>
      <w:r>
        <w:rPr>
          <w:rFonts w:ascii="Calibri" w:hAnsi="Calibri" w:eastAsia="Calibri"/>
          <w:sz w:val="22"/>
        </w:rPr>
        <w:t xml:space="preserve"> SAMU — </w:t>
      </w:r>
      <w:r>
        <w:rPr>
          <w:rFonts w:ascii="Calibri" w:hAnsi="Calibri" w:eastAsia="Calibri"/>
          <w:b/>
          <w:sz w:val="22"/>
        </w:rPr>
        <w:t>112</w:t>
      </w:r>
      <w:r>
        <w:rPr>
          <w:rFonts w:ascii="Calibri" w:hAnsi="Calibri" w:eastAsia="Calibri"/>
          <w:sz w:val="22"/>
        </w:rPr>
        <w:t xml:space="preserve"> numéro d’urgence européen.</w:t>
      </w:r>
    </w:p>
    <w:p>
      <w:pPr>
        <w:spacing w:after="40" w:before="0"/>
        <w:jc w:val="both"/>
      </w:pPr>
      <w:r>
        <w:rPr>
          <w:rFonts w:ascii="Calibri" w:hAnsi="Calibri" w:eastAsia="Calibri"/>
          <w:sz w:val="22"/>
        </w:rPr>
        <w:t xml:space="preserve">– </w:t>
      </w:r>
      <w:r>
        <w:rPr>
          <w:rFonts w:ascii="Calibri" w:hAnsi="Calibri" w:eastAsia="Calibri"/>
          <w:b/>
          <w:sz w:val="22"/>
        </w:rPr>
        <w:t>114</w:t>
      </w:r>
      <w:r>
        <w:rPr>
          <w:rFonts w:ascii="Calibri" w:hAnsi="Calibri" w:eastAsia="Calibri"/>
          <w:sz w:val="22"/>
        </w:rPr>
        <w:t xml:space="preserve"> par SMS, notamment pour les personnes sourdes ou malentendantes, ou lorsqu’il est impossible de parler.</w:t>
      </w:r>
    </w:p>
    <w:p>
      <w:pPr>
        <w:spacing w:after="240" w:before="0"/>
        <w:jc w:val="both"/>
      </w:pPr>
      <w:r>
        <w:rPr>
          <w:rFonts w:ascii="Calibri" w:hAnsi="Calibri" w:eastAsia="Calibri"/>
          <w:sz w:val="22"/>
        </w:rPr>
        <w:t xml:space="preserve">– </w:t>
      </w:r>
      <w:r>
        <w:rPr>
          <w:rFonts w:ascii="Calibri" w:hAnsi="Calibri" w:eastAsia="Calibri"/>
          <w:b/>
          <w:sz w:val="22"/>
        </w:rPr>
        <w:t>3919</w:t>
      </w:r>
      <w:r>
        <w:rPr>
          <w:rFonts w:ascii="Calibri" w:hAnsi="Calibri" w:eastAsia="Calibri"/>
          <w:sz w:val="22"/>
        </w:rPr>
        <w:t xml:space="preserve"> Violences Femmes Info — </w:t>
      </w:r>
      <w:r>
        <w:rPr>
          <w:rFonts w:ascii="Calibri" w:hAnsi="Calibri" w:eastAsia="Calibri"/>
          <w:b/>
          <w:sz w:val="22"/>
        </w:rPr>
        <w:t>119</w:t>
      </w:r>
      <w:r>
        <w:rPr>
          <w:rFonts w:ascii="Calibri" w:hAnsi="Calibri" w:eastAsia="Calibri"/>
          <w:sz w:val="22"/>
        </w:rPr>
        <w:t xml:space="preserve"> enfance en danger.</w:t>
      </w:r>
    </w:p>
    <w:p>
      <w:pPr>
        <w:spacing w:after="80" w:before="0"/>
      </w:pPr>
      <w:r>
        <w:rPr>
          <w:rFonts w:ascii="Calibri" w:hAnsi="Calibri" w:eastAsia="Calibri"/>
          <w:b/>
          <w:sz w:val="22"/>
        </w:rPr>
        <w:t>2. Conserver les preuves</w:t>
      </w:r>
    </w:p>
    <w:p>
      <w:pPr>
        <w:spacing w:after="80" w:before="0"/>
        <w:jc w:val="both"/>
      </w:pPr>
      <w:r>
        <w:rPr>
          <w:rFonts w:ascii="Calibri" w:hAnsi="Calibri" w:eastAsia="Calibri"/>
          <w:sz w:val="22"/>
        </w:rPr>
        <w:t>Rassemblez sans attendre tout ce qui établit les faits et le préjudice :</w:t>
      </w:r>
    </w:p>
    <w:p>
      <w:pPr>
        <w:spacing w:after="40" w:before="0"/>
        <w:jc w:val="both"/>
      </w:pPr>
      <w:r>
        <w:rPr>
          <w:rFonts w:ascii="Calibri" w:hAnsi="Calibri" w:eastAsia="Calibri"/>
          <w:sz w:val="22"/>
        </w:rPr>
        <w:t xml:space="preserve">– </w:t>
      </w:r>
      <w:r>
        <w:rPr>
          <w:rFonts w:ascii="Calibri" w:hAnsi="Calibri" w:eastAsia="Calibri"/>
          <w:sz w:val="22"/>
        </w:rPr>
        <w:t>certificat médical décrivant les blessures et, le cas échéant, l’incapacité totale de travail (ITT) ; un examen médico-légal peut être demandé par les enquêteurs ;</w:t>
      </w:r>
    </w:p>
    <w:p>
      <w:pPr>
        <w:spacing w:after="40" w:before="0"/>
        <w:jc w:val="both"/>
      </w:pPr>
      <w:r>
        <w:rPr>
          <w:rFonts w:ascii="Calibri" w:hAnsi="Calibri" w:eastAsia="Calibri"/>
          <w:sz w:val="22"/>
        </w:rPr>
        <w:t xml:space="preserve">– </w:t>
      </w:r>
      <w:r>
        <w:rPr>
          <w:rFonts w:ascii="Calibri" w:hAnsi="Calibri" w:eastAsia="Calibri"/>
          <w:sz w:val="22"/>
        </w:rPr>
        <w:t>photos datées, captures d’écran (messages, publications, profils), courriels, relevés bancaires ;</w:t>
      </w:r>
    </w:p>
    <w:p>
      <w:pPr>
        <w:spacing w:after="40" w:before="0"/>
        <w:jc w:val="both"/>
      </w:pPr>
      <w:r>
        <w:rPr>
          <w:rFonts w:ascii="Calibri" w:hAnsi="Calibri" w:eastAsia="Calibri"/>
          <w:sz w:val="22"/>
        </w:rPr>
        <w:t xml:space="preserve">– </w:t>
      </w:r>
      <w:r>
        <w:rPr>
          <w:rFonts w:ascii="Calibri" w:hAnsi="Calibri" w:eastAsia="Calibri"/>
          <w:sz w:val="22"/>
        </w:rPr>
        <w:t>noms et coordonnées des témoins ; factures, devis et justificatifs de vos pertes ;</w:t>
      </w:r>
    </w:p>
    <w:p>
      <w:pPr>
        <w:spacing w:after="240" w:before="0"/>
        <w:jc w:val="both"/>
      </w:pPr>
      <w:r>
        <w:rPr>
          <w:rFonts w:ascii="Calibri" w:hAnsi="Calibri" w:eastAsia="Calibri"/>
          <w:sz w:val="22"/>
        </w:rPr>
        <w:t xml:space="preserve">– </w:t>
      </w:r>
      <w:r>
        <w:rPr>
          <w:rFonts w:ascii="Calibri" w:hAnsi="Calibri" w:eastAsia="Calibri"/>
          <w:sz w:val="22"/>
        </w:rPr>
        <w:t>une chronologie écrite des faits, rédigée tant que vos souvenirs sont précis.</w:t>
      </w:r>
    </w:p>
    <w:p>
      <w:pPr>
        <w:spacing w:after="80" w:before="0"/>
      </w:pPr>
      <w:r>
        <w:rPr>
          <w:rFonts w:ascii="Calibri" w:hAnsi="Calibri" w:eastAsia="Calibri"/>
          <w:b/>
          <w:sz w:val="22"/>
        </w:rPr>
        <w:t>3. Porter plainte</w:t>
      </w:r>
    </w:p>
    <w:p>
      <w:pPr>
        <w:spacing w:after="80" w:before="0"/>
        <w:jc w:val="both"/>
      </w:pPr>
      <w:r>
        <w:rPr>
          <w:rFonts w:ascii="Calibri" w:hAnsi="Calibri" w:eastAsia="Calibri"/>
          <w:sz w:val="22"/>
        </w:rPr>
        <w:t>Vous pouvez porter plainte dans tout commissariat ou toute brigade de gendarmerie, qui sont tenus de la recevoir, ou écrire directement au procureur de la République du lieu des faits (un modèle de plainte simple est disponible sur la même page). Pour certaines atteintes aux biens, une démarche en ligne est possible : vérifiez sur service-public.fr.</w:t>
      </w:r>
    </w:p>
    <w:p>
      <w:pPr>
        <w:spacing w:after="80" w:before="0"/>
        <w:jc w:val="both"/>
      </w:pPr>
      <w:r>
        <w:rPr>
          <w:rFonts w:ascii="Calibri" w:hAnsi="Calibri" w:eastAsia="Calibri"/>
          <w:sz w:val="22"/>
        </w:rPr>
        <w:t>Un récépissé vous est remis et vous pouvez demander une copie du procès-verbal. Lors du dépôt de plainte, vous êtes informé(e) de vos droits (article 10-2 du code de procédure pénale) : obtenir réparation, vous constituer partie civile, être assisté(e) par un avocat, être aidé(e) par une association d’aide aux victimes, bénéficier d’un interprète si besoin.</w:t>
      </w:r>
    </w:p>
    <w:p>
      <w:pPr>
        <w:spacing w:after="240" w:before="0"/>
        <w:jc w:val="both"/>
      </w:pPr>
      <w:r>
        <w:rPr>
          <w:rFonts w:ascii="Calibri" w:hAnsi="Calibri" w:eastAsia="Calibri"/>
          <w:sz w:val="22"/>
        </w:rPr>
        <w:t>Une main courante n’est pas une plainte : elle ne déclenche pas de poursuites.</w:t>
      </w:r>
    </w:p>
    <w:p>
      <w:pPr>
        <w:spacing w:after="80" w:before="0"/>
      </w:pPr>
      <w:r>
        <w:rPr>
          <w:rFonts w:ascii="Calibri" w:hAnsi="Calibri" w:eastAsia="Calibri"/>
          <w:b/>
          <w:sz w:val="22"/>
        </w:rPr>
        <w:t>4. Être accompagné(e)</w:t>
      </w:r>
    </w:p>
    <w:p>
      <w:pPr>
        <w:spacing w:after="40" w:before="0"/>
        <w:jc w:val="both"/>
      </w:pPr>
      <w:r>
        <w:rPr>
          <w:rFonts w:ascii="Calibri" w:hAnsi="Calibri" w:eastAsia="Calibri"/>
          <w:sz w:val="22"/>
        </w:rPr>
        <w:t xml:space="preserve">– </w:t>
      </w:r>
      <w:r>
        <w:rPr>
          <w:rFonts w:ascii="Calibri" w:hAnsi="Calibri" w:eastAsia="Calibri"/>
          <w:b/>
          <w:sz w:val="22"/>
        </w:rPr>
        <w:t xml:space="preserve">Associations d’aide aux victimes : </w:t>
      </w:r>
      <w:r>
        <w:rPr>
          <w:rFonts w:ascii="Calibri" w:hAnsi="Calibri" w:eastAsia="Calibri"/>
          <w:sz w:val="22"/>
        </w:rPr>
        <w:t xml:space="preserve">écoute, information juridique et soutien psychologique, gratuitement. Numéro national France Victimes : </w:t>
      </w:r>
      <w:r>
        <w:rPr>
          <w:rFonts w:ascii="Calibri" w:hAnsi="Calibri" w:eastAsia="Calibri"/>
          <w:b/>
          <w:sz w:val="22"/>
        </w:rPr>
        <w:t>116 006</w:t>
      </w:r>
      <w:r>
        <w:rPr>
          <w:rFonts w:ascii="Calibri" w:hAnsi="Calibri" w:eastAsia="Calibri"/>
          <w:sz w:val="22"/>
        </w:rPr>
        <w:t xml:space="preserve"> (appel gratuit, 7 jours sur 7).</w:t>
      </w:r>
    </w:p>
    <w:p>
      <w:pPr>
        <w:spacing w:after="40" w:before="0"/>
        <w:jc w:val="both"/>
      </w:pPr>
      <w:r>
        <w:rPr>
          <w:rFonts w:ascii="Calibri" w:hAnsi="Calibri" w:eastAsia="Calibri"/>
          <w:sz w:val="22"/>
        </w:rPr>
        <w:t xml:space="preserve">– </w:t>
      </w:r>
      <w:r>
        <w:rPr>
          <w:rFonts w:ascii="Calibri" w:hAnsi="Calibri" w:eastAsia="Calibri"/>
          <w:b/>
          <w:sz w:val="22"/>
        </w:rPr>
        <w:t xml:space="preserve">Bureau d’aide aux victimes </w:t>
      </w:r>
      <w:r>
        <w:rPr>
          <w:rFonts w:ascii="Calibri" w:hAnsi="Calibri" w:eastAsia="Calibri"/>
          <w:sz w:val="22"/>
        </w:rPr>
        <w:t>au tribunal judiciaire : information sur la procédure et sur le déroulement de l’audience.</w:t>
      </w:r>
    </w:p>
    <w:p>
      <w:pPr>
        <w:spacing w:after="240" w:before="0"/>
        <w:jc w:val="both"/>
      </w:pPr>
      <w:r>
        <w:rPr>
          <w:rFonts w:ascii="Calibri" w:hAnsi="Calibri" w:eastAsia="Calibri"/>
          <w:sz w:val="22"/>
        </w:rPr>
        <w:t xml:space="preserve">– </w:t>
      </w:r>
      <w:r>
        <w:rPr>
          <w:rFonts w:ascii="Calibri" w:hAnsi="Calibri" w:eastAsia="Calibri"/>
          <w:b/>
          <w:sz w:val="22"/>
        </w:rPr>
        <w:t xml:space="preserve">Avocat : </w:t>
      </w:r>
      <w:r>
        <w:rPr>
          <w:rFonts w:ascii="Calibri" w:hAnsi="Calibri" w:eastAsia="Calibri"/>
          <w:sz w:val="22"/>
        </w:rPr>
        <w:t>il vous assiste lors des auditions et devant le tribunal, et chiffre votre préjudice. L’aide juridictionnelle peut être accordée selon vos ressources, et sans condition de ressources pour les victimes de certains crimes les plus graves.</w:t>
      </w:r>
    </w:p>
    <w:p>
      <w:pPr>
        <w:spacing w:after="80" w:before="0"/>
      </w:pPr>
      <w:r>
        <w:rPr>
          <w:rFonts w:ascii="Calibri" w:hAnsi="Calibri" w:eastAsia="Calibri"/>
          <w:b/>
          <w:sz w:val="22"/>
        </w:rPr>
        <w:t>5. Les suites de la plainte</w:t>
      </w:r>
    </w:p>
    <w:p>
      <w:pPr>
        <w:spacing w:after="80" w:before="0"/>
        <w:jc w:val="both"/>
      </w:pPr>
      <w:r>
        <w:rPr>
          <w:rFonts w:ascii="Calibri" w:hAnsi="Calibri" w:eastAsia="Calibri"/>
          <w:sz w:val="22"/>
        </w:rPr>
        <w:t>Le procureur de la République décide des suites : enquête, alternative aux poursuites (avertissement pénal probatoire, médiation, réparation, composition pénale…), poursuites devant le tribunal, ou classement sans suite. En cas de classement, il vous en avise avec ses motifs ; vous pouvez former un recours auprès du procureur général (article 40-3 du code de procédure pénale) ou, sous conditions, déposer une plainte avec constitution de partie civile (article 85 du même code).</w:t>
      </w:r>
    </w:p>
    <w:p>
      <w:pPr>
        <w:spacing w:after="240" w:before="0"/>
        <w:jc w:val="both"/>
      </w:pPr>
      <w:r>
        <w:rPr>
          <w:rFonts w:ascii="Calibri" w:hAnsi="Calibri" w:eastAsia="Calibri"/>
          <w:sz w:val="22"/>
        </w:rPr>
        <w:t>Pour demander réparation devant le juge pénal, vous devez vous constituer partie civile, au plus tard à l’audience (un modèle est disponible sur la même page).</w:t>
      </w:r>
    </w:p>
    <w:p>
      <w:pPr>
        <w:spacing w:after="80" w:before="0"/>
      </w:pPr>
      <w:r>
        <w:rPr>
          <w:rFonts w:ascii="Calibri" w:hAnsi="Calibri" w:eastAsia="Calibri"/>
          <w:b/>
          <w:sz w:val="22"/>
        </w:rPr>
        <w:t>6. Être indemnisé(e)</w:t>
      </w:r>
    </w:p>
    <w:p>
      <w:pPr>
        <w:spacing w:after="40" w:before="0"/>
        <w:jc w:val="both"/>
      </w:pPr>
      <w:r>
        <w:rPr>
          <w:rFonts w:ascii="Calibri" w:hAnsi="Calibri" w:eastAsia="Calibri"/>
          <w:sz w:val="22"/>
        </w:rPr>
        <w:t xml:space="preserve">– </w:t>
      </w:r>
      <w:r>
        <w:rPr>
          <w:rFonts w:ascii="Calibri" w:hAnsi="Calibri" w:eastAsia="Calibri"/>
          <w:b/>
          <w:sz w:val="22"/>
        </w:rPr>
        <w:t xml:space="preserve">Devant le juge pénal : </w:t>
      </w:r>
      <w:r>
        <w:rPr>
          <w:rFonts w:ascii="Calibri" w:hAnsi="Calibri" w:eastAsia="Calibri"/>
          <w:sz w:val="22"/>
        </w:rPr>
        <w:t>en tant que partie civile, vous demandez des dommages-intérêts à l’auteur condamné. Préparez les justificatifs de chaque poste de préjudice.</w:t>
      </w:r>
    </w:p>
    <w:p>
      <w:pPr>
        <w:spacing w:after="40" w:before="0"/>
        <w:jc w:val="both"/>
      </w:pPr>
      <w:r>
        <w:rPr>
          <w:rFonts w:ascii="Calibri" w:hAnsi="Calibri" w:eastAsia="Calibri"/>
          <w:sz w:val="22"/>
        </w:rPr>
        <w:t xml:space="preserve">– </w:t>
      </w:r>
      <w:r>
        <w:rPr>
          <w:rFonts w:ascii="Calibri" w:hAnsi="Calibri" w:eastAsia="Calibri"/>
          <w:b/>
          <w:sz w:val="22"/>
        </w:rPr>
        <w:t xml:space="preserve">La commission d’indemnisation des victimes d’infractions (CIVI) : </w:t>
      </w:r>
      <w:r>
        <w:rPr>
          <w:rFonts w:ascii="Calibri" w:hAnsi="Calibri" w:eastAsia="Calibri"/>
          <w:sz w:val="22"/>
        </w:rPr>
        <w:t>elle siège auprès de chaque tribunal judiciaire et peut accorder une indemnisation, même si l’auteur est inconnu ou insolvable, pour les atteintes graves à la personne et, sous conditions (notamment de ressources), pour certaines atteintes aux biens (articles 706-3 et 706-14 du code de procédure pénale). Sa saisine est enfermée dans des délais (article 706-5 du même code) : renseignez-vous rapidement.</w:t>
      </w:r>
    </w:p>
    <w:p>
      <w:pPr>
        <w:spacing w:after="40" w:before="0"/>
        <w:jc w:val="both"/>
      </w:pPr>
      <w:r>
        <w:rPr>
          <w:rFonts w:ascii="Calibri" w:hAnsi="Calibri" w:eastAsia="Calibri"/>
          <w:sz w:val="22"/>
        </w:rPr>
        <w:t xml:space="preserve">– </w:t>
      </w:r>
      <w:r>
        <w:rPr>
          <w:rFonts w:ascii="Calibri" w:hAnsi="Calibri" w:eastAsia="Calibri"/>
          <w:b/>
          <w:sz w:val="22"/>
        </w:rPr>
        <w:t xml:space="preserve">L’aide au recouvrement : </w:t>
      </w:r>
      <w:r>
        <w:rPr>
          <w:rFonts w:ascii="Calibri" w:hAnsi="Calibri" w:eastAsia="Calibri"/>
          <w:sz w:val="22"/>
        </w:rPr>
        <w:t>si l’auteur condamné ne vous paie pas les sommes allouées, le service d’aide au recouvrement des victimes d’infractions (SARVI), géré par le Fonds de garantie, peut, sous conditions, vous aider à les obtenir.</w:t>
      </w:r>
    </w:p>
    <w:p>
      <w:pPr>
        <w:spacing w:after="240" w:before="0"/>
        <w:jc w:val="both"/>
      </w:pPr>
      <w:r>
        <w:rPr>
          <w:rFonts w:ascii="Calibri" w:hAnsi="Calibri" w:eastAsia="Calibri"/>
          <w:sz w:val="22"/>
        </w:rPr>
        <w:t xml:space="preserve">– </w:t>
      </w:r>
      <w:r>
        <w:rPr>
          <w:rFonts w:ascii="Calibri" w:hAnsi="Calibri" w:eastAsia="Calibri"/>
          <w:b/>
          <w:sz w:val="22"/>
        </w:rPr>
        <w:t xml:space="preserve">Votre assurance : </w:t>
      </w:r>
      <w:r>
        <w:rPr>
          <w:rFonts w:ascii="Calibri" w:hAnsi="Calibri" w:eastAsia="Calibri"/>
          <w:sz w:val="22"/>
        </w:rPr>
        <w:t>multirisque habitation, assurance automobile ou protection juridique peuvent couvrir une partie du dommage ou des frais d’avocat. Déclarez le sinistre dans le délai prévu par votre contrat.</w:t>
      </w:r>
    </w:p>
    <w:p>
      <w:pPr>
        <w:spacing w:after="80" w:before="0"/>
      </w:pPr>
      <w:r>
        <w:rPr>
          <w:rFonts w:ascii="Calibri" w:hAnsi="Calibri" w:eastAsia="Calibri"/>
          <w:b/>
          <w:sz w:val="22"/>
        </w:rPr>
        <w:t>Check-list</w:t>
      </w:r>
    </w:p>
    <w:p>
      <w:pPr>
        <w:spacing w:after="40" w:before="0"/>
        <w:jc w:val="both"/>
      </w:pPr>
      <w:r>
        <w:rPr>
          <w:rFonts w:ascii="Calibri" w:hAnsi="Calibri" w:eastAsia="Calibri"/>
          <w:sz w:val="22"/>
        </w:rPr>
        <w:t xml:space="preserve">☐ </w:t>
      </w:r>
      <w:r>
        <w:rPr>
          <w:rFonts w:ascii="Calibri" w:hAnsi="Calibri" w:eastAsia="Calibri"/>
          <w:sz w:val="22"/>
        </w:rPr>
        <w:t>mise en sécurité et soins ; certificat médical obtenu ;</w:t>
      </w:r>
    </w:p>
    <w:p>
      <w:pPr>
        <w:spacing w:after="40" w:before="0"/>
        <w:jc w:val="both"/>
      </w:pPr>
      <w:r>
        <w:rPr>
          <w:rFonts w:ascii="Calibri" w:hAnsi="Calibri" w:eastAsia="Calibri"/>
          <w:sz w:val="22"/>
        </w:rPr>
        <w:t xml:space="preserve">☐ </w:t>
      </w:r>
      <w:r>
        <w:rPr>
          <w:rFonts w:ascii="Calibri" w:hAnsi="Calibri" w:eastAsia="Calibri"/>
          <w:sz w:val="22"/>
        </w:rPr>
        <w:t>preuves conservées (photos, captures, témoins, factures) ;</w:t>
      </w:r>
    </w:p>
    <w:p>
      <w:pPr>
        <w:spacing w:after="40" w:before="0"/>
        <w:jc w:val="both"/>
      </w:pPr>
      <w:r>
        <w:rPr>
          <w:rFonts w:ascii="Calibri" w:hAnsi="Calibri" w:eastAsia="Calibri"/>
          <w:sz w:val="22"/>
        </w:rPr>
        <w:t xml:space="preserve">☐ </w:t>
      </w:r>
      <w:r>
        <w:rPr>
          <w:rFonts w:ascii="Calibri" w:hAnsi="Calibri" w:eastAsia="Calibri"/>
          <w:sz w:val="22"/>
        </w:rPr>
        <w:t>plainte déposée ; récépissé et copie du procès-verbal conservés ;</w:t>
      </w:r>
    </w:p>
    <w:p>
      <w:pPr>
        <w:spacing w:after="40" w:before="0"/>
        <w:jc w:val="both"/>
      </w:pPr>
      <w:r>
        <w:rPr>
          <w:rFonts w:ascii="Calibri" w:hAnsi="Calibri" w:eastAsia="Calibri"/>
          <w:sz w:val="22"/>
        </w:rPr>
        <w:t xml:space="preserve">☐ </w:t>
      </w:r>
      <w:r>
        <w:rPr>
          <w:rFonts w:ascii="Calibri" w:hAnsi="Calibri" w:eastAsia="Calibri"/>
          <w:sz w:val="22"/>
        </w:rPr>
        <w:t>association d’aide aux victimes ou avocat contacté ;</w:t>
      </w:r>
    </w:p>
    <w:p>
      <w:pPr>
        <w:spacing w:after="40" w:before="0"/>
        <w:jc w:val="both"/>
      </w:pPr>
      <w:r>
        <w:rPr>
          <w:rFonts w:ascii="Calibri" w:hAnsi="Calibri" w:eastAsia="Calibri"/>
          <w:sz w:val="22"/>
        </w:rPr>
        <w:t xml:space="preserve">☐ </w:t>
      </w:r>
      <w:r>
        <w:rPr>
          <w:rFonts w:ascii="Calibri" w:hAnsi="Calibri" w:eastAsia="Calibri"/>
          <w:sz w:val="22"/>
        </w:rPr>
        <w:t>assureur prévenu dans le délai du contrat ;</w:t>
      </w:r>
    </w:p>
    <w:p>
      <w:pPr>
        <w:spacing w:after="40" w:before="0"/>
        <w:jc w:val="both"/>
      </w:pPr>
      <w:r>
        <w:rPr>
          <w:rFonts w:ascii="Calibri" w:hAnsi="Calibri" w:eastAsia="Calibri"/>
          <w:sz w:val="22"/>
        </w:rPr>
        <w:t xml:space="preserve">☐ </w:t>
      </w:r>
      <w:r>
        <w:rPr>
          <w:rFonts w:ascii="Calibri" w:hAnsi="Calibri" w:eastAsia="Calibri"/>
          <w:sz w:val="22"/>
        </w:rPr>
        <w:t>dates notées : faits, plainte, décisions reçues.</w:t>
      </w:r>
    </w:p>
    <w:p>
      <w:pPr>
        <w:spacing w:after="160"/>
      </w:pPr>
    </w:p>
    <w:p>
      <w:pPr>
        <w:spacing w:after="80" w:before="0"/>
      </w:pPr>
      <w:r>
        <w:rPr>
          <w:rFonts w:ascii="Calibri" w:hAnsi="Calibri" w:eastAsia="Calibri"/>
          <w:b/>
          <w:sz w:val="22"/>
        </w:rPr>
        <w:t>Avertissement</w:t>
      </w:r>
    </w:p>
    <w:p>
      <w:pPr>
        <w:spacing w:after="160" w:before="0"/>
        <w:jc w:val="both"/>
      </w:pPr>
      <w:r>
        <w:rPr>
          <w:rFonts w:ascii="Calibri" w:hAnsi="Calibri" w:eastAsia="Calibri"/>
          <w:sz w:val="22"/>
        </w:rPr>
        <w:t>Les droits des victimes, les conditions d’indemnisation et les délais varient selon l’infraction et le stade de la procédure. Faites-vous conseiller sans tarder, notamment avant de saisir la CIVI ou de vous constituer partie civile.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numéros d’urgence et d’aide cités sont nationaux et gratuits. En cas de danger immédiat, appelez le 17 ou le 112.</w:t>
      </w:r>
    </w:p>
    <w:p>
      <w:pPr>
        <w:spacing w:after="100" w:before="0"/>
        <w:jc w:val="both"/>
      </w:pPr>
      <w:r>
        <w:rPr>
          <w:rFonts w:ascii="Calibri" w:hAnsi="Calibri" w:eastAsia="Calibri"/>
          <w:color w:val="374151"/>
          <w:sz w:val="20"/>
        </w:rPr>
        <w:t>• Les conditions d’indemnisation par la CIVI (nature de l’infraction, gravité, ressources, délais) sont techniques : un avocat peut vérifier votre éligibilité et chiffrer votre préjudice.</w:t>
      </w:r>
    </w:p>
    <w:p>
      <w:pPr>
        <w:spacing w:after="100" w:before="0"/>
        <w:jc w:val="both"/>
      </w:pPr>
      <w:r>
        <w:rPr>
          <w:rFonts w:ascii="Calibri" w:hAnsi="Calibri" w:eastAsia="Calibri"/>
          <w:color w:val="374151"/>
          <w:sz w:val="20"/>
        </w:rPr>
        <w:t>• Une victime mineure, une victime de violences conjugales ou une victime d’infraction sexuelle bénéficie de dispositifs particuliers ; signalez-le dès le dépôt de plainte.</w:t>
      </w:r>
    </w:p>
    <w:p>
      <w:pPr>
        <w:spacing w:after="100" w:before="0"/>
        <w:jc w:val="both"/>
      </w:pPr>
      <w:r>
        <w:rPr>
          <w:rFonts w:ascii="Calibri" w:hAnsi="Calibri" w:eastAsia="Calibri"/>
          <w:color w:val="374151"/>
          <w:sz w:val="20"/>
        </w:rPr>
        <w:t>• Cette fiche ne constitue pas un conseil personnalisé et peut devenir incomplète en cas d’évolution des textes.</w:t>
      </w:r>
    </w:p>
    <w:p>
      <w:pPr>
        <w:spacing w:after="100" w:before="0"/>
        <w:jc w:val="both"/>
      </w:pPr>
      <w:r>
        <w:rPr>
          <w:rFonts w:ascii="Calibri" w:hAnsi="Calibri" w:eastAsia="Calibri"/>
          <w:color w:val="374151"/>
          <w:sz w:val="20"/>
        </w:rPr>
        <w:t>• Supprimez l’en-tête informatif et la présente page si vous conservez uniquement le corps de la fiche.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pratique — victime d’une infraction : vos démarches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