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rFonts w:ascii="Calibri" w:hAnsi="Calibri" w:eastAsia="Calibri"/>
          <w:b/>
          <w:sz w:val="24"/>
        </w:rPr>
        <w:t>FICHE PRATIQUE — COMMENT BIEN UTILISER CES MODÈLES</w:t>
      </w:r>
    </w:p>
    <w:p>
      <w:pPr>
        <w:spacing w:after="280" w:before="0"/>
        <w:jc w:val="center"/>
      </w:pPr>
      <w:r>
        <w:rPr>
          <w:rFonts w:ascii="Calibri" w:hAnsi="Calibri" w:eastAsia="Calibri"/>
          <w:b/>
          <w:sz w:val="22"/>
        </w:rPr>
        <w:t>Cabinet Gasimov — Avocat à Strasbourg</w:t>
      </w:r>
    </w:p>
    <w:p>
      <w:pPr>
        <w:spacing w:after="240" w:before="0"/>
        <w:jc w:val="both"/>
      </w:pPr>
      <w:r>
        <w:rPr>
          <w:rFonts w:ascii="Calibri" w:hAnsi="Calibri" w:eastAsia="Calibri"/>
          <w:sz w:val="22"/>
        </w:rPr>
        <w:t>Guide d’usage des modèles Word proposés sur la page Documentations du Cabinet Gasimov. Ces documents sont des bases de travail informatives : ils ne constituent pas un conseil personnalisé et ne remplacent pas l’analyse de votre situation.</w:t>
      </w:r>
    </w:p>
    <w:p>
      <w:pPr>
        <w:spacing w:after="80" w:before="0"/>
      </w:pPr>
      <w:r>
        <w:rPr>
          <w:rFonts w:ascii="Calibri" w:hAnsi="Calibri" w:eastAsia="Calibri"/>
          <w:b/>
          <w:sz w:val="22"/>
        </w:rPr>
        <w:t>1. Avant de commencer</w:t>
      </w:r>
    </w:p>
    <w:p>
      <w:pPr>
        <w:spacing w:after="40" w:before="0"/>
        <w:jc w:val="both"/>
      </w:pPr>
      <w:r>
        <w:rPr>
          <w:rFonts w:ascii="Calibri" w:hAnsi="Calibri" w:eastAsia="Calibri"/>
          <w:sz w:val="22"/>
        </w:rPr>
        <w:t>– Choisissez le modèle le plus proche de votre besoin, puis relisez entièrement le texte et la page « Notes pratiques ». Pour une démarche officielle (aide juridictionnelle, CEDH, prud’hommes…), préférez le formulaire Cerfa ou le formulaire CEDH de la rubrique « Formulaires officiels », après avoir vérifié qu’il s’agit de la dernière version.</w:t>
      </w:r>
      <w:r>
        <w:rPr>
          <w:rFonts w:ascii="Calibri" w:hAnsi="Calibri" w:eastAsia="Calibri"/>
          <w:sz w:val="22"/>
        </w:rPr>
      </w:r>
    </w:p>
    <w:p>
      <w:pPr>
        <w:spacing w:after="40" w:before="0"/>
        <w:jc w:val="both"/>
      </w:pPr>
      <w:r>
        <w:rPr>
          <w:rFonts w:ascii="Calibri" w:hAnsi="Calibri" w:eastAsia="Calibri"/>
          <w:sz w:val="22"/>
        </w:rPr>
        <w:t xml:space="preserve">– </w:t>
      </w:r>
      <w:r>
        <w:rPr>
          <w:rFonts w:ascii="Calibri" w:hAnsi="Calibri" w:eastAsia="Calibri"/>
          <w:sz w:val="22"/>
        </w:rPr>
        <w:t>Vérifiez que vous êtes bien dans le bon cadre (bon destinataire, bon délai, bonne procédure). Un modèle « administration » ne convient pas à un litige purement privé, et inversement.</w:t>
      </w:r>
    </w:p>
    <w:p>
      <w:pPr>
        <w:spacing w:after="240" w:before="0"/>
        <w:jc w:val="both"/>
      </w:pPr>
      <w:r>
        <w:rPr>
          <w:rFonts w:ascii="Calibri" w:hAnsi="Calibri" w:eastAsia="Calibri"/>
          <w:sz w:val="22"/>
        </w:rPr>
        <w:t xml:space="preserve">– </w:t>
      </w:r>
      <w:r>
        <w:rPr>
          <w:rFonts w:ascii="Calibri" w:hAnsi="Calibri" w:eastAsia="Calibri"/>
          <w:sz w:val="22"/>
        </w:rPr>
        <w:t>Si votre situation est urgente, conflictuelle ou susceptible d’un délai de recours court, contactez un avocat avant d’envoyer quoi que ce soit.</w:t>
      </w:r>
    </w:p>
    <w:p>
      <w:pPr>
        <w:spacing w:after="80" w:before="0"/>
      </w:pPr>
      <w:r>
        <w:rPr>
          <w:rFonts w:ascii="Calibri" w:hAnsi="Calibri" w:eastAsia="Calibri"/>
          <w:b/>
          <w:sz w:val="22"/>
        </w:rPr>
        <w:t>2. Remplir les champs surlignés</w:t>
      </w:r>
    </w:p>
    <w:p>
      <w:pPr>
        <w:spacing w:after="40" w:before="0"/>
        <w:jc w:val="both"/>
      </w:pPr>
      <w:r>
        <w:rPr>
          <w:rFonts w:ascii="Calibri" w:hAnsi="Calibri" w:eastAsia="Calibri"/>
          <w:sz w:val="22"/>
        </w:rPr>
        <w:t xml:space="preserve">– </w:t>
      </w:r>
      <w:r>
        <w:rPr>
          <w:rFonts w:ascii="Calibri" w:hAnsi="Calibri" w:eastAsia="Calibri"/>
          <w:sz w:val="22"/>
        </w:rPr>
        <w:t>Les passages surlignés en jaune sont à compléter ou à adapter. Remplacez-les par des informations exactes, datées et vérifiables.</w:t>
      </w:r>
    </w:p>
    <w:p>
      <w:pPr>
        <w:spacing w:after="40" w:before="0"/>
        <w:jc w:val="both"/>
      </w:pPr>
      <w:r>
        <w:rPr>
          <w:rFonts w:ascii="Calibri" w:hAnsi="Calibri" w:eastAsia="Calibri"/>
          <w:sz w:val="22"/>
        </w:rPr>
        <w:t xml:space="preserve">– </w:t>
      </w:r>
      <w:r>
        <w:rPr>
          <w:rFonts w:ascii="Calibri" w:hAnsi="Calibri" w:eastAsia="Calibri"/>
          <w:sz w:val="22"/>
        </w:rPr>
        <w:t>Supprimez les options entre crochets qui ne vous concernent pas (ex. : « / le cas échéant : … »).</w:t>
      </w:r>
    </w:p>
    <w:p>
      <w:pPr>
        <w:spacing w:after="40" w:before="0"/>
        <w:jc w:val="both"/>
      </w:pPr>
      <w:r>
        <w:rPr>
          <w:rFonts w:ascii="Calibri" w:hAnsi="Calibri" w:eastAsia="Calibri"/>
          <w:sz w:val="22"/>
        </w:rPr>
        <w:t xml:space="preserve">– </w:t>
      </w:r>
      <w:r>
        <w:rPr>
          <w:rFonts w:ascii="Calibri" w:hAnsi="Calibri" w:eastAsia="Calibri"/>
          <w:sz w:val="22"/>
        </w:rPr>
        <w:t>Ne laissez aucun surlignage jaune ni aucun « […] » dans la version envoyée.</w:t>
      </w:r>
    </w:p>
    <w:p>
      <w:pPr>
        <w:spacing w:after="240" w:before="0"/>
        <w:jc w:val="both"/>
      </w:pPr>
      <w:r>
        <w:rPr>
          <w:rFonts w:ascii="Calibri" w:hAnsi="Calibri" w:eastAsia="Calibri"/>
          <w:sz w:val="22"/>
        </w:rPr>
        <w:t xml:space="preserve">– </w:t>
      </w:r>
      <w:r>
        <w:rPr>
          <w:rFonts w:ascii="Calibri" w:hAnsi="Calibri" w:eastAsia="Calibri"/>
          <w:sz w:val="22"/>
        </w:rPr>
        <w:t>Écrivez de façon factuelle : dates, lieux, montants, références de dossier. Évitez les accusations générales et les qualifications juridiques dont vous n’êtes pas certain(e).</w:t>
      </w:r>
    </w:p>
    <w:p>
      <w:pPr>
        <w:spacing w:after="80" w:before="0"/>
      </w:pPr>
      <w:r>
        <w:rPr>
          <w:rFonts w:ascii="Calibri" w:hAnsi="Calibri" w:eastAsia="Calibri"/>
          <w:b/>
          <w:sz w:val="22"/>
        </w:rPr>
        <w:t>3. Avant l’envoi : nettoyer le document</w:t>
      </w:r>
    </w:p>
    <w:p>
      <w:pPr>
        <w:spacing w:after="40" w:before="0"/>
        <w:jc w:val="both"/>
      </w:pPr>
      <w:r>
        <w:rPr>
          <w:rFonts w:ascii="Calibri" w:hAnsi="Calibri" w:eastAsia="Calibri"/>
          <w:sz w:val="22"/>
        </w:rPr>
        <w:t xml:space="preserve">– </w:t>
      </w:r>
      <w:r>
        <w:rPr>
          <w:rFonts w:ascii="Calibri" w:hAnsi="Calibri" w:eastAsia="Calibri"/>
          <w:sz w:val="22"/>
        </w:rPr>
        <w:t>Supprimez l’en-tête informatif du type « Modèle fourni à titre informatif… ».</w:t>
      </w:r>
    </w:p>
    <w:p>
      <w:pPr>
        <w:spacing w:after="40" w:before="0"/>
        <w:jc w:val="both"/>
      </w:pPr>
      <w:r>
        <w:rPr>
          <w:rFonts w:ascii="Calibri" w:hAnsi="Calibri" w:eastAsia="Calibri"/>
          <w:sz w:val="22"/>
        </w:rPr>
        <w:t xml:space="preserve">– </w:t>
      </w:r>
      <w:r>
        <w:rPr>
          <w:rFonts w:ascii="Calibri" w:hAnsi="Calibri" w:eastAsia="Calibri"/>
          <w:sz w:val="22"/>
        </w:rPr>
        <w:t>Supprimez la dernière page de conseils pratiques jointe au modèle.</w:t>
      </w:r>
    </w:p>
    <w:p>
      <w:pPr>
        <w:spacing w:after="40" w:before="0"/>
        <w:jc w:val="both"/>
      </w:pPr>
      <w:r>
        <w:rPr>
          <w:rFonts w:ascii="Calibri" w:hAnsi="Calibri" w:eastAsia="Calibri"/>
          <w:sz w:val="22"/>
        </w:rPr>
        <w:t xml:space="preserve">– </w:t>
      </w:r>
      <w:r>
        <w:rPr>
          <w:rFonts w:ascii="Calibri" w:hAnsi="Calibri" w:eastAsia="Calibri"/>
          <w:sz w:val="22"/>
        </w:rPr>
        <w:t>Relisez l’orthographe des noms, adresses, numéros de dossier et montants.</w:t>
      </w:r>
    </w:p>
    <w:p>
      <w:pPr>
        <w:spacing w:after="240" w:before="0"/>
        <w:jc w:val="both"/>
      </w:pPr>
      <w:r>
        <w:rPr>
          <w:rFonts w:ascii="Calibri" w:hAnsi="Calibri" w:eastAsia="Calibri"/>
          <w:sz w:val="22"/>
        </w:rPr>
        <w:t xml:space="preserve">– </w:t>
      </w:r>
      <w:r>
        <w:rPr>
          <w:rFonts w:ascii="Calibri" w:hAnsi="Calibri" w:eastAsia="Calibri"/>
          <w:sz w:val="22"/>
        </w:rPr>
        <w:t>Numérotez les pièces jointes et reportez cette numérotation dans le courrier.</w:t>
      </w:r>
    </w:p>
    <w:p>
      <w:pPr>
        <w:spacing w:after="80" w:before="0"/>
      </w:pPr>
      <w:r>
        <w:rPr>
          <w:rFonts w:ascii="Calibri" w:hAnsi="Calibri" w:eastAsia="Calibri"/>
          <w:b/>
          <w:sz w:val="22"/>
        </w:rPr>
        <w:t>4. Envoyer et conserver les preuves</w:t>
      </w:r>
    </w:p>
    <w:p>
      <w:pPr>
        <w:spacing w:after="40" w:before="0"/>
        <w:jc w:val="both"/>
      </w:pPr>
      <w:r>
        <w:rPr>
          <w:rFonts w:ascii="Calibri" w:hAnsi="Calibri" w:eastAsia="Calibri"/>
          <w:sz w:val="22"/>
        </w:rPr>
        <w:t xml:space="preserve">– </w:t>
      </w:r>
      <w:r>
        <w:rPr>
          <w:rFonts w:ascii="Calibri" w:hAnsi="Calibri" w:eastAsia="Calibri"/>
          <w:b/>
          <w:sz w:val="22"/>
        </w:rPr>
        <w:t xml:space="preserve">Lettre recommandée avec demande d’avis de réception (LRAR) : </w:t>
      </w:r>
      <w:r>
        <w:rPr>
          <w:rFonts w:ascii="Calibri" w:hAnsi="Calibri" w:eastAsia="Calibri"/>
          <w:sz w:val="22"/>
        </w:rPr>
        <w:t>mode d’envoi souvent recommandé pour les courriers aux administrations, mises en demeure et congés. Conservez le dépôt et l’avis de réception.</w:t>
      </w:r>
    </w:p>
    <w:p>
      <w:pPr>
        <w:spacing w:after="40" w:before="0"/>
        <w:jc w:val="both"/>
      </w:pPr>
      <w:r>
        <w:rPr>
          <w:rFonts w:ascii="Calibri" w:hAnsi="Calibri" w:eastAsia="Calibri"/>
          <w:sz w:val="22"/>
        </w:rPr>
        <w:t xml:space="preserve">– </w:t>
      </w:r>
      <w:r>
        <w:rPr>
          <w:rFonts w:ascii="Calibri" w:hAnsi="Calibri" w:eastAsia="Calibri"/>
          <w:b/>
          <w:sz w:val="22"/>
        </w:rPr>
        <w:t xml:space="preserve">Remise en main propre : </w:t>
      </w:r>
      <w:r>
        <w:rPr>
          <w:rFonts w:ascii="Calibri" w:hAnsi="Calibri" w:eastAsia="Calibri"/>
          <w:sz w:val="22"/>
        </w:rPr>
        <w:t>faites dater et signer une décharge (nom, qualité, date, signature).</w:t>
      </w:r>
    </w:p>
    <w:p>
      <w:pPr>
        <w:spacing w:after="40" w:before="0"/>
        <w:jc w:val="both"/>
      </w:pPr>
      <w:r>
        <w:rPr>
          <w:rFonts w:ascii="Calibri" w:hAnsi="Calibri" w:eastAsia="Calibri"/>
          <w:sz w:val="22"/>
        </w:rPr>
        <w:t xml:space="preserve">– </w:t>
      </w:r>
      <w:r>
        <w:rPr>
          <w:rFonts w:ascii="Calibri" w:hAnsi="Calibri" w:eastAsia="Calibri"/>
          <w:b/>
          <w:sz w:val="22"/>
        </w:rPr>
        <w:t xml:space="preserve">Téléservice / courriel : </w:t>
      </w:r>
      <w:r>
        <w:rPr>
          <w:rFonts w:ascii="Calibri" w:hAnsi="Calibri" w:eastAsia="Calibri"/>
          <w:sz w:val="22"/>
        </w:rPr>
        <w:t>lorsque la procédure est dématérialisée, conservez captures d’écran, accusés de dépôt et numéros de dossier.</w:t>
      </w:r>
    </w:p>
    <w:p>
      <w:pPr>
        <w:spacing w:after="240" w:before="0"/>
        <w:jc w:val="both"/>
      </w:pPr>
      <w:r>
        <w:rPr>
          <w:rFonts w:ascii="Calibri" w:hAnsi="Calibri" w:eastAsia="Calibri"/>
          <w:sz w:val="22"/>
        </w:rPr>
        <w:t xml:space="preserve">– </w:t>
      </w:r>
      <w:r>
        <w:rPr>
          <w:rFonts w:ascii="Calibri" w:hAnsi="Calibri" w:eastAsia="Calibri"/>
          <w:sz w:val="22"/>
        </w:rPr>
        <w:t>Gardez une copie complète du courrier envoyé et de toutes les pièces.</w:t>
      </w:r>
    </w:p>
    <w:p>
      <w:pPr>
        <w:spacing w:after="80" w:before="0"/>
      </w:pPr>
      <w:r>
        <w:rPr>
          <w:rFonts w:ascii="Calibri" w:hAnsi="Calibri" w:eastAsia="Calibri"/>
          <w:b/>
          <w:sz w:val="22"/>
        </w:rPr>
        <w:t>5. Calculer et noter les délais</w:t>
      </w:r>
    </w:p>
    <w:p>
      <w:pPr>
        <w:spacing w:after="40" w:before="0"/>
        <w:jc w:val="both"/>
      </w:pPr>
      <w:r>
        <w:rPr>
          <w:rFonts w:ascii="Calibri" w:hAnsi="Calibri" w:eastAsia="Calibri"/>
          <w:sz w:val="22"/>
        </w:rPr>
        <w:t xml:space="preserve">– </w:t>
      </w:r>
      <w:r>
        <w:rPr>
          <w:rFonts w:ascii="Calibri" w:hAnsi="Calibri" w:eastAsia="Calibri"/>
          <w:sz w:val="22"/>
        </w:rPr>
        <w:t>Repérez le point de départ du délai (notification, réception, connaissance de la décision, fait générateur).</w:t>
      </w:r>
    </w:p>
    <w:p>
      <w:pPr>
        <w:spacing w:after="40" w:before="0"/>
        <w:jc w:val="both"/>
      </w:pPr>
      <w:r>
        <w:rPr>
          <w:rFonts w:ascii="Calibri" w:hAnsi="Calibri" w:eastAsia="Calibri"/>
          <w:sz w:val="22"/>
        </w:rPr>
        <w:t xml:space="preserve">– </w:t>
      </w:r>
      <w:r>
        <w:rPr>
          <w:rFonts w:ascii="Calibri" w:hAnsi="Calibri" w:eastAsia="Calibri"/>
          <w:sz w:val="22"/>
        </w:rPr>
        <w:t>Calculez la date d’échéance avec une marge ; en cas de doute sur un jour férié ou un délai franc, faites vérifier.</w:t>
      </w:r>
    </w:p>
    <w:p>
      <w:pPr>
        <w:spacing w:after="40" w:before="0"/>
        <w:jc w:val="both"/>
      </w:pPr>
      <w:r>
        <w:rPr>
          <w:rFonts w:ascii="Calibri" w:hAnsi="Calibri" w:eastAsia="Calibri"/>
          <w:sz w:val="22"/>
        </w:rPr>
        <w:t xml:space="preserve">– </w:t>
      </w:r>
      <w:r>
        <w:rPr>
          <w:rFonts w:ascii="Calibri" w:hAnsi="Calibri" w:eastAsia="Calibri"/>
          <w:sz w:val="22"/>
        </w:rPr>
        <w:t>Un recours administratif utile peut, dans certains cas prévus par les textes, interrompre un délai de recours contentieux — ce n’est pas vrai pour tous les délais ni toutes les procédures. Ne présumez pas l’effet interruptif.</w:t>
      </w:r>
    </w:p>
    <w:p>
      <w:pPr>
        <w:spacing w:after="240" w:before="0"/>
        <w:jc w:val="both"/>
      </w:pPr>
      <w:r>
        <w:rPr>
          <w:rFonts w:ascii="Calibri" w:hAnsi="Calibri" w:eastAsia="Calibri"/>
          <w:sz w:val="22"/>
        </w:rPr>
        <w:t xml:space="preserve">– </w:t>
      </w:r>
      <w:r>
        <w:rPr>
          <w:rFonts w:ascii="Calibri" w:hAnsi="Calibri" w:eastAsia="Calibri"/>
          <w:sz w:val="22"/>
        </w:rPr>
        <w:t>Notez dans un échéancier : date de la décision, date de réception, démarches faites, prochaine échéance.</w:t>
      </w:r>
    </w:p>
    <w:p>
      <w:pPr>
        <w:spacing w:after="80" w:before="0"/>
      </w:pPr>
      <w:r>
        <w:rPr>
          <w:rFonts w:ascii="Calibri" w:hAnsi="Calibri" w:eastAsia="Calibri"/>
          <w:b/>
          <w:sz w:val="22"/>
        </w:rPr>
        <w:t>6. Ce qu’il ne faut pas faire</w:t>
      </w:r>
    </w:p>
    <w:p>
      <w:pPr>
        <w:spacing w:after="40" w:before="0"/>
        <w:jc w:val="both"/>
      </w:pPr>
      <w:r>
        <w:rPr>
          <w:rFonts w:ascii="Calibri" w:hAnsi="Calibri" w:eastAsia="Calibri"/>
          <w:sz w:val="22"/>
        </w:rPr>
        <w:t xml:space="preserve">– </w:t>
      </w:r>
      <w:r>
        <w:rPr>
          <w:rFonts w:ascii="Calibri" w:hAnsi="Calibri" w:eastAsia="Calibri"/>
          <w:sz w:val="22"/>
        </w:rPr>
        <w:t>Ne pas inventer de fondement juridique, d’article de loi ou de délai « par approximation ».</w:t>
      </w:r>
    </w:p>
    <w:p>
      <w:pPr>
        <w:spacing w:after="40" w:before="0"/>
        <w:jc w:val="both"/>
      </w:pPr>
      <w:r>
        <w:rPr>
          <w:rFonts w:ascii="Calibri" w:hAnsi="Calibri" w:eastAsia="Calibri"/>
          <w:sz w:val="22"/>
        </w:rPr>
        <w:t xml:space="preserve">– </w:t>
      </w:r>
      <w:r>
        <w:rPr>
          <w:rFonts w:ascii="Calibri" w:hAnsi="Calibri" w:eastAsia="Calibri"/>
          <w:sz w:val="22"/>
        </w:rPr>
        <w:t>Ne pas envoyer un modèle sans l’avoir adapté à votre cas (destinataire, faits, demandes).</w:t>
      </w:r>
    </w:p>
    <w:p>
      <w:pPr>
        <w:spacing w:after="40" w:before="0"/>
        <w:jc w:val="both"/>
      </w:pPr>
      <w:r>
        <w:rPr>
          <w:rFonts w:ascii="Calibri" w:hAnsi="Calibri" w:eastAsia="Calibri"/>
          <w:sz w:val="22"/>
        </w:rPr>
        <w:t xml:space="preserve">– </w:t>
      </w:r>
      <w:r>
        <w:rPr>
          <w:rFonts w:ascii="Calibri" w:hAnsi="Calibri" w:eastAsia="Calibri"/>
          <w:sz w:val="22"/>
        </w:rPr>
        <w:t>Ne pas joindre de documents confidentiels inutiles, ni de données de tiers sans nécessité.</w:t>
      </w:r>
    </w:p>
    <w:p>
      <w:pPr>
        <w:spacing w:after="240" w:before="0"/>
        <w:jc w:val="both"/>
      </w:pPr>
      <w:r>
        <w:rPr>
          <w:rFonts w:ascii="Calibri" w:hAnsi="Calibri" w:eastAsia="Calibri"/>
          <w:sz w:val="22"/>
        </w:rPr>
        <w:t xml:space="preserve">– </w:t>
      </w:r>
      <w:r>
        <w:rPr>
          <w:rFonts w:ascii="Calibri" w:hAnsi="Calibri" w:eastAsia="Calibri"/>
          <w:sz w:val="22"/>
        </w:rPr>
        <w:t>Ne pas considérer l’envoi d’un modèle comme une garantie de succès.</w:t>
      </w:r>
    </w:p>
    <w:p>
      <w:pPr>
        <w:spacing w:after="80" w:before="0"/>
      </w:pPr>
      <w:r>
        <w:rPr>
          <w:rFonts w:ascii="Calibri" w:hAnsi="Calibri" w:eastAsia="Calibri"/>
          <w:b/>
          <w:sz w:val="22"/>
        </w:rPr>
        <w:t>Check-list express</w:t>
      </w:r>
    </w:p>
    <w:p>
      <w:pPr>
        <w:spacing w:after="40" w:before="0"/>
        <w:jc w:val="both"/>
      </w:pPr>
      <w:r>
        <w:rPr>
          <w:rFonts w:ascii="Calibri" w:hAnsi="Calibri" w:eastAsia="Calibri"/>
          <w:sz w:val="22"/>
        </w:rPr>
        <w:t xml:space="preserve">☐ </w:t>
      </w:r>
      <w:r>
        <w:rPr>
          <w:rFonts w:ascii="Calibri" w:hAnsi="Calibri" w:eastAsia="Calibri"/>
          <w:sz w:val="22"/>
        </w:rPr>
        <w:t>bon modèle choisi ; notes pratiques lues ;</w:t>
      </w:r>
    </w:p>
    <w:p>
      <w:pPr>
        <w:spacing w:after="40" w:before="0"/>
        <w:jc w:val="both"/>
      </w:pPr>
      <w:r>
        <w:rPr>
          <w:rFonts w:ascii="Calibri" w:hAnsi="Calibri" w:eastAsia="Calibri"/>
          <w:sz w:val="22"/>
        </w:rPr>
        <w:t xml:space="preserve">☐ </w:t>
      </w:r>
      <w:r>
        <w:rPr>
          <w:rFonts w:ascii="Calibri" w:hAnsi="Calibri" w:eastAsia="Calibri"/>
          <w:sz w:val="22"/>
        </w:rPr>
        <w:t>champs jaunes complétés ; options inutiles supprimées ;</w:t>
      </w:r>
    </w:p>
    <w:p>
      <w:pPr>
        <w:spacing w:after="40" w:before="0"/>
        <w:jc w:val="both"/>
      </w:pPr>
      <w:r>
        <w:rPr>
          <w:rFonts w:ascii="Calibri" w:hAnsi="Calibri" w:eastAsia="Calibri"/>
          <w:sz w:val="22"/>
        </w:rPr>
        <w:t xml:space="preserve">☐ </w:t>
      </w:r>
      <w:r>
        <w:rPr>
          <w:rFonts w:ascii="Calibri" w:hAnsi="Calibri" w:eastAsia="Calibri"/>
          <w:sz w:val="22"/>
        </w:rPr>
        <w:t>en-tête informatif et page de notes supprimés ;</w:t>
      </w:r>
    </w:p>
    <w:p>
      <w:pPr>
        <w:spacing w:after="40" w:before="0"/>
        <w:jc w:val="both"/>
      </w:pPr>
      <w:r>
        <w:rPr>
          <w:rFonts w:ascii="Calibri" w:hAnsi="Calibri" w:eastAsia="Calibri"/>
          <w:sz w:val="22"/>
        </w:rPr>
        <w:t xml:space="preserve">☐ </w:t>
      </w:r>
      <w:r>
        <w:rPr>
          <w:rFonts w:ascii="Calibri" w:hAnsi="Calibri" w:eastAsia="Calibri"/>
          <w:sz w:val="22"/>
        </w:rPr>
        <w:t>pièces numérotées et bordereau cohérent ;</w:t>
      </w:r>
    </w:p>
    <w:p>
      <w:pPr>
        <w:spacing w:after="40" w:before="0"/>
        <w:jc w:val="both"/>
      </w:pPr>
      <w:r>
        <w:rPr>
          <w:rFonts w:ascii="Calibri" w:hAnsi="Calibri" w:eastAsia="Calibri"/>
          <w:sz w:val="22"/>
        </w:rPr>
        <w:t xml:space="preserve">☐ </w:t>
      </w:r>
      <w:r>
        <w:rPr>
          <w:rFonts w:ascii="Calibri" w:hAnsi="Calibri" w:eastAsia="Calibri"/>
          <w:sz w:val="22"/>
        </w:rPr>
        <w:t>mode d’envoi choisi ; preuves d’envoi prévues ;</w:t>
      </w:r>
    </w:p>
    <w:p>
      <w:pPr>
        <w:spacing w:after="40" w:before="0"/>
        <w:jc w:val="both"/>
      </w:pPr>
      <w:r>
        <w:rPr>
          <w:rFonts w:ascii="Calibri" w:hAnsi="Calibri" w:eastAsia="Calibri"/>
          <w:sz w:val="22"/>
        </w:rPr>
        <w:t xml:space="preserve">☐ </w:t>
      </w:r>
      <w:r>
        <w:rPr>
          <w:rFonts w:ascii="Calibri" w:hAnsi="Calibri" w:eastAsia="Calibri"/>
          <w:sz w:val="22"/>
        </w:rPr>
        <w:t>délais notés ; copie du dossier conservée.</w:t>
      </w:r>
    </w:p>
    <w:p>
      <w:pPr>
        <w:spacing w:after="160"/>
      </w:pPr>
    </w:p>
    <w:p>
      <w:pPr>
        <w:spacing w:after="80" w:before="0"/>
      </w:pPr>
      <w:r>
        <w:rPr>
          <w:rFonts w:ascii="Calibri" w:hAnsi="Calibri" w:eastAsia="Calibri"/>
          <w:b/>
          <w:sz w:val="22"/>
        </w:rPr>
        <w:t>Avertissement</w:t>
      </w:r>
    </w:p>
    <w:p>
      <w:pPr>
        <w:spacing w:after="160" w:before="0"/>
        <w:jc w:val="both"/>
      </w:pPr>
      <w:r>
        <w:rPr>
          <w:rFonts w:ascii="Calibri" w:hAnsi="Calibri" w:eastAsia="Calibri"/>
          <w:sz w:val="22"/>
        </w:rPr>
        <w:t>Les modèles du Cabinet Gasimov sont fournis à titre informatif. Aucun contenu de la page Documentations ne constitue un avis juridique. Pour une situation personnelle, demandez une consultation.</w:t>
      </w:r>
    </w:p>
    <w:p>
      <w:r>
        <w:br w:type="page"/>
      </w:r>
    </w:p>
    <w:p>
      <w:pPr>
        <w:spacing w:after="80" w:before="0"/>
      </w:pPr>
      <w:r>
        <w:rPr>
          <w:rFonts w:ascii="Calibri" w:hAnsi="Calibri" w:eastAsia="Calibri"/>
          <w:b/>
          <w:sz w:val="26"/>
        </w:rPr>
        <w:t>Notes pratiques — à supprimer avant utilisation</w:t>
      </w:r>
    </w:p>
    <w:p>
      <w:pPr>
        <w:spacing w:after="120"/>
      </w:pP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Cette fiche peut être conservée pour vous ; ce n’est pas un courrier à envoyer à un tiers.</w:t>
      </w: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En Alsace-Moselle (Bas-Rhin, Haut-Rhin, Moselle), certains contentieux ou formalités peuvent relever de règles de compétence ou de droit local particulières : en cas de doute, faites vérifier.</w:t>
      </w: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Si un modèle et une fiche pratique de la même page semblent diverger, fiez-vous aux textes officiels et demandez conseil.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rFonts w:ascii="Calibri" w:hAnsi="Calibri" w:eastAsia="Calibri"/>
        <w:color w:val="9AA5B1"/>
        <w:sz w:val="16"/>
      </w:rPr>
      <w:t>Modèle — Cabinet Gasimov, avocat à Strasbourg · www.avocat-gasimov.fr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/>
    <w:r>
      <w:rPr>
        <w:rFonts w:ascii="Calibri" w:hAnsi="Calibri" w:eastAsia="Calibri"/>
        <w:i/>
        <w:color w:val="6B7280"/>
        <w:sz w:val="17"/>
      </w:rPr>
      <w:t>Modèle fourni à titre informatif — à adapter à votre situation ; ne remplace pas un conseil personnalisé. Cabinet Gasimov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pratique — comment bien utiliser ces modèles</dc:title>
  <dc:subject/>
  <dc:creator>Cabinet Gasimov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