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FICHE PRATIQUE — SAISIR LA COUR EUROPÉENNE DES DROITS DE L’HOMME</w:t>
      </w:r>
    </w:p>
    <w:p>
      <w:pPr>
        <w:spacing w:after="280" w:before="0"/>
        <w:jc w:val="center"/>
      </w:pPr>
      <w:r>
        <w:rPr>
          <w:rFonts w:ascii="Calibri" w:hAnsi="Calibri" w:eastAsia="Calibri"/>
          <w:b/>
          <w:sz w:val="22"/>
        </w:rPr>
        <w:t>Cabinet Gasimov — Avocat à Strasbourg</w:t>
      </w:r>
    </w:p>
    <w:p>
      <w:pPr>
        <w:spacing w:after="240" w:before="0"/>
        <w:jc w:val="both"/>
      </w:pPr>
      <w:r>
        <w:rPr>
          <w:rFonts w:ascii="Calibri" w:hAnsi="Calibri" w:eastAsia="Calibri"/>
          <w:sz w:val="22"/>
        </w:rPr>
        <w:t>Repères informatifs pour former une requête individuelle devant la Cour européenne des droits de l’homme (Strasbourg), sur le fondement de la Convention de sauvegarde des droits de l’homme et des libertés fondamentales. Cette fiche ne remplace pas le formulaire officiel ni un conseil personnalisé.</w:t>
      </w:r>
    </w:p>
    <w:p>
      <w:pPr>
        <w:spacing w:after="80" w:before="0"/>
      </w:pPr>
      <w:r>
        <w:rPr>
          <w:rFonts w:ascii="Calibri" w:hAnsi="Calibri" w:eastAsia="Calibri"/>
          <w:b/>
          <w:sz w:val="22"/>
        </w:rPr>
        <w:t>1. Qui peut saisir la Cour ?</w:t>
      </w:r>
    </w:p>
    <w:p>
      <w:pPr>
        <w:spacing w:after="240" w:before="0"/>
        <w:jc w:val="both"/>
      </w:pPr>
      <w:r>
        <w:rPr>
          <w:rFonts w:ascii="Calibri" w:hAnsi="Calibri" w:eastAsia="Calibri"/>
          <w:sz w:val="22"/>
        </w:rPr>
        <w:t>Toute personne physique, toute organisation non gouvernementale ou tout groupe de particuliers qui se prétend victime d’une violation, par un État partie, d’un droit garanti par la Convention ou ses protocoles. La France est un État partie.</w:t>
      </w:r>
    </w:p>
    <w:p>
      <w:pPr>
        <w:spacing w:after="80" w:before="0"/>
      </w:pPr>
      <w:r>
        <w:rPr>
          <w:rFonts w:ascii="Calibri" w:hAnsi="Calibri" w:eastAsia="Calibri"/>
          <w:b/>
          <w:sz w:val="22"/>
        </w:rPr>
        <w:t>2. Conditions essentielles de recevabilité</w:t>
      </w:r>
    </w:p>
    <w:p>
      <w:pPr>
        <w:spacing w:after="40" w:before="0"/>
        <w:jc w:val="both"/>
      </w:pPr>
      <w:r>
        <w:rPr>
          <w:rFonts w:ascii="Calibri" w:hAnsi="Calibri" w:eastAsia="Calibri"/>
          <w:sz w:val="22"/>
        </w:rPr>
        <w:t xml:space="preserve">– </w:t>
      </w:r>
      <w:r>
        <w:rPr>
          <w:rFonts w:ascii="Calibri" w:hAnsi="Calibri" w:eastAsia="Calibri"/>
          <w:b/>
          <w:sz w:val="22"/>
        </w:rPr>
        <w:t xml:space="preserve">Épuisement des voies de recours internes : </w:t>
      </w:r>
      <w:r>
        <w:rPr>
          <w:rFonts w:ascii="Calibri" w:hAnsi="Calibri" w:eastAsia="Calibri"/>
          <w:sz w:val="22"/>
        </w:rPr>
        <w:t>vous devez, en principe, avoir exercé les recours utiles et disponibles devant les juridictions nationales, jusqu’à la décision interne définitive.</w:t>
      </w:r>
    </w:p>
    <w:p>
      <w:pPr>
        <w:spacing w:after="40" w:before="0"/>
        <w:jc w:val="both"/>
      </w:pPr>
      <w:r>
        <w:rPr>
          <w:rFonts w:ascii="Calibri" w:hAnsi="Calibri" w:eastAsia="Calibri"/>
          <w:sz w:val="22"/>
        </w:rPr>
        <w:t xml:space="preserve">– </w:t>
      </w:r>
      <w:r>
        <w:rPr>
          <w:rFonts w:ascii="Calibri" w:hAnsi="Calibri" w:eastAsia="Calibri"/>
          <w:b/>
          <w:sz w:val="22"/>
        </w:rPr>
        <w:t xml:space="preserve">Délai : </w:t>
      </w:r>
      <w:r>
        <w:rPr>
          <w:rFonts w:ascii="Calibri" w:hAnsi="Calibri" w:eastAsia="Calibri"/>
          <w:sz w:val="22"/>
        </w:rPr>
        <w:t>la requête doit être introduite dans un délai de quatre mois à compter de la décision interne définitive (délai issu du Protocole n° 15 à la Convention). Ce délai est strict.</w:t>
      </w:r>
    </w:p>
    <w:p>
      <w:pPr>
        <w:spacing w:after="40" w:before="0"/>
        <w:jc w:val="both"/>
      </w:pPr>
      <w:r>
        <w:rPr>
          <w:rFonts w:ascii="Calibri" w:hAnsi="Calibri" w:eastAsia="Calibri"/>
          <w:sz w:val="22"/>
        </w:rPr>
        <w:t xml:space="preserve">– </w:t>
      </w:r>
      <w:r>
        <w:rPr>
          <w:rFonts w:ascii="Calibri" w:hAnsi="Calibri" w:eastAsia="Calibri"/>
          <w:b/>
          <w:sz w:val="22"/>
        </w:rPr>
        <w:t xml:space="preserve">Griefs conventionnels : </w:t>
      </w:r>
      <w:r>
        <w:rPr>
          <w:rFonts w:ascii="Calibri" w:hAnsi="Calibri" w:eastAsia="Calibri"/>
          <w:sz w:val="22"/>
        </w:rPr>
        <w:t>les faits invoqués doivent relever d’un droit garanti (vie, interdiction de la torture, liberté, procès équitable, vie privée et familiale, propriété, etc.).</w:t>
      </w:r>
    </w:p>
    <w:p>
      <w:pPr>
        <w:spacing w:after="40" w:before="0"/>
        <w:jc w:val="both"/>
      </w:pPr>
      <w:r>
        <w:rPr>
          <w:rFonts w:ascii="Calibri" w:hAnsi="Calibri" w:eastAsia="Calibri"/>
          <w:sz w:val="22"/>
        </w:rPr>
        <w:t xml:space="preserve">– </w:t>
      </w:r>
      <w:r>
        <w:rPr>
          <w:rFonts w:ascii="Calibri" w:hAnsi="Calibri" w:eastAsia="Calibri"/>
          <w:b/>
          <w:sz w:val="22"/>
        </w:rPr>
        <w:t xml:space="preserve">Préjudice significatif : </w:t>
      </w:r>
      <w:r>
        <w:rPr>
          <w:rFonts w:ascii="Calibri" w:hAnsi="Calibri" w:eastAsia="Calibri"/>
          <w:sz w:val="22"/>
        </w:rPr>
        <w:t>sauf exceptions prévues par la Convention, un préjudice significatif est en principe requis.</w:t>
      </w:r>
    </w:p>
    <w:p>
      <w:pPr>
        <w:spacing w:after="240" w:before="0"/>
        <w:jc w:val="both"/>
      </w:pPr>
      <w:r>
        <w:rPr>
          <w:rFonts w:ascii="Calibri" w:hAnsi="Calibri" w:eastAsia="Calibri"/>
          <w:sz w:val="22"/>
        </w:rPr>
        <w:t xml:space="preserve">– </w:t>
      </w:r>
      <w:r>
        <w:rPr>
          <w:rFonts w:ascii="Calibri" w:hAnsi="Calibri" w:eastAsia="Calibri"/>
          <w:b/>
          <w:sz w:val="22"/>
        </w:rPr>
        <w:t xml:space="preserve">Requête non abusive et non répétitive : </w:t>
      </w:r>
      <w:r>
        <w:rPr>
          <w:rFonts w:ascii="Calibri" w:hAnsi="Calibri" w:eastAsia="Calibri"/>
          <w:sz w:val="22"/>
        </w:rPr>
        <w:t>une requête manifestement mal fondée, anonyme ou déjà examinée peut être déclarée irrecevable.</w:t>
      </w:r>
    </w:p>
    <w:p>
      <w:pPr>
        <w:spacing w:after="80" w:before="0"/>
      </w:pPr>
      <w:r>
        <w:rPr>
          <w:rFonts w:ascii="Calibri" w:hAnsi="Calibri" w:eastAsia="Calibri"/>
          <w:b/>
          <w:sz w:val="22"/>
        </w:rPr>
        <w:t>3. Le formulaire officiel est obligatoire</w:t>
      </w:r>
    </w:p>
    <w:p>
      <w:pPr>
        <w:spacing w:after="80" w:before="0"/>
        <w:jc w:val="both"/>
      </w:pPr>
      <w:r>
        <w:rPr>
          <w:rFonts w:ascii="Calibri" w:hAnsi="Calibri" w:eastAsia="Calibri"/>
          <w:sz w:val="22"/>
        </w:rPr>
        <w:t>La Cour n’examine une requête individuelle que si elle est présentée au moyen du formulaire officiel de requête, correctement rempli et accompagné des pièces requises. N’utilisez pas une simple lettre libre pour introduire la requête.</w:t>
      </w:r>
    </w:p>
    <w:p>
      <w:pPr>
        <w:spacing w:after="80" w:before="0"/>
        <w:jc w:val="both"/>
      </w:pPr>
      <w:r>
        <w:rPr>
          <w:rFonts w:ascii="Calibri" w:hAnsi="Calibri" w:eastAsia="Calibri"/>
          <w:sz w:val="22"/>
        </w:rPr>
        <w:t>Le formulaire, les notices d’aide et les instructions à jour sont disponibles uniquement sur le site officiel de la Cour européenne des droits de l’homme (rubrique « Demandeurs » / « Applicants »). Téléchargez toujours la version en vigueur au moment de l’envoi.</w:t>
      </w:r>
    </w:p>
    <w:p>
      <w:pPr>
        <w:spacing w:after="240" w:before="0"/>
        <w:jc w:val="both"/>
      </w:pPr>
      <w:r>
        <w:rPr>
          <w:rFonts w:ascii="Calibri" w:hAnsi="Calibri" w:eastAsia="Calibri"/>
          <w:sz w:val="22"/>
        </w:rPr>
        <w:t>Cette fiche ne reproduit pas le formulaire : toute copie ou imitation serait incomplète et risquerait de rendre la requête irrecevable.</w:t>
      </w:r>
    </w:p>
    <w:p>
      <w:pPr>
        <w:spacing w:after="80" w:before="0"/>
      </w:pPr>
      <w:r>
        <w:rPr>
          <w:rFonts w:ascii="Calibri" w:hAnsi="Calibri" w:eastAsia="Calibri"/>
          <w:b/>
          <w:sz w:val="22"/>
        </w:rPr>
        <w:t>4. Contenu attendu (sans se substituer au formulaire)</w:t>
      </w:r>
    </w:p>
    <w:p>
      <w:pPr>
        <w:spacing w:after="40" w:before="0"/>
        <w:jc w:val="both"/>
      </w:pPr>
      <w:r>
        <w:rPr>
          <w:rFonts w:ascii="Calibri" w:hAnsi="Calibri" w:eastAsia="Calibri"/>
          <w:sz w:val="22"/>
        </w:rPr>
        <w:t xml:space="preserve">– </w:t>
      </w:r>
      <w:r>
        <w:rPr>
          <w:rFonts w:ascii="Calibri" w:hAnsi="Calibri" w:eastAsia="Calibri"/>
          <w:sz w:val="22"/>
        </w:rPr>
        <w:t>Identification complète du requérant et, le cas échéant, du représentant.</w:t>
      </w:r>
    </w:p>
    <w:p>
      <w:pPr>
        <w:spacing w:after="40" w:before="0"/>
        <w:jc w:val="both"/>
      </w:pPr>
      <w:r>
        <w:rPr>
          <w:rFonts w:ascii="Calibri" w:hAnsi="Calibri" w:eastAsia="Calibri"/>
          <w:sz w:val="22"/>
        </w:rPr>
        <w:t xml:space="preserve">– </w:t>
      </w:r>
      <w:r>
        <w:rPr>
          <w:rFonts w:ascii="Calibri" w:hAnsi="Calibri" w:eastAsia="Calibri"/>
          <w:sz w:val="22"/>
        </w:rPr>
        <w:t>État mis en cause.</w:t>
      </w:r>
    </w:p>
    <w:p>
      <w:pPr>
        <w:spacing w:after="40" w:before="0"/>
        <w:jc w:val="both"/>
      </w:pPr>
      <w:r>
        <w:rPr>
          <w:rFonts w:ascii="Calibri" w:hAnsi="Calibri" w:eastAsia="Calibri"/>
          <w:sz w:val="22"/>
        </w:rPr>
        <w:t xml:space="preserve">– </w:t>
      </w:r>
      <w:r>
        <w:rPr>
          <w:rFonts w:ascii="Calibri" w:hAnsi="Calibri" w:eastAsia="Calibri"/>
          <w:sz w:val="22"/>
        </w:rPr>
        <w:t>Exposé clair et chronologique des faits.</w:t>
      </w:r>
    </w:p>
    <w:p>
      <w:pPr>
        <w:spacing w:after="40" w:before="0"/>
        <w:jc w:val="both"/>
      </w:pPr>
      <w:r>
        <w:rPr>
          <w:rFonts w:ascii="Calibri" w:hAnsi="Calibri" w:eastAsia="Calibri"/>
          <w:sz w:val="22"/>
        </w:rPr>
        <w:t xml:space="preserve">– </w:t>
      </w:r>
      <w:r>
        <w:rPr>
          <w:rFonts w:ascii="Calibri" w:hAnsi="Calibri" w:eastAsia="Calibri"/>
          <w:sz w:val="22"/>
        </w:rPr>
        <w:t>Articles de la Convention invoqués et explication du grief.</w:t>
      </w:r>
    </w:p>
    <w:p>
      <w:pPr>
        <w:spacing w:after="40" w:before="0"/>
        <w:jc w:val="both"/>
      </w:pPr>
      <w:r>
        <w:rPr>
          <w:rFonts w:ascii="Calibri" w:hAnsi="Calibri" w:eastAsia="Calibri"/>
          <w:sz w:val="22"/>
        </w:rPr>
        <w:t xml:space="preserve">– </w:t>
      </w:r>
      <w:r>
        <w:rPr>
          <w:rFonts w:ascii="Calibri" w:hAnsi="Calibri" w:eastAsia="Calibri"/>
          <w:sz w:val="22"/>
        </w:rPr>
        <w:t>Informations sur les recours internes exercés et sur la décision définitive (date).</w:t>
      </w:r>
    </w:p>
    <w:p>
      <w:pPr>
        <w:spacing w:after="40" w:before="0"/>
        <w:jc w:val="both"/>
      </w:pPr>
      <w:r>
        <w:rPr>
          <w:rFonts w:ascii="Calibri" w:hAnsi="Calibri" w:eastAsia="Calibri"/>
          <w:sz w:val="22"/>
        </w:rPr>
        <w:t xml:space="preserve">– </w:t>
      </w:r>
      <w:r>
        <w:rPr>
          <w:rFonts w:ascii="Calibri" w:hAnsi="Calibri" w:eastAsia="Calibri"/>
          <w:sz w:val="22"/>
        </w:rPr>
        <w:t>Copies des décisions et pièces essentielles — pas d’originaux sauf demande de la Cour.</w:t>
      </w:r>
    </w:p>
    <w:p>
      <w:pPr>
        <w:spacing w:after="240" w:before="0"/>
        <w:jc w:val="both"/>
      </w:pPr>
      <w:r>
        <w:rPr>
          <w:rFonts w:ascii="Calibri" w:hAnsi="Calibri" w:eastAsia="Calibri"/>
          <w:sz w:val="22"/>
        </w:rPr>
        <w:t xml:space="preserve">– </w:t>
      </w:r>
      <w:r>
        <w:rPr>
          <w:rFonts w:ascii="Calibri" w:hAnsi="Calibri" w:eastAsia="Calibri"/>
          <w:sz w:val="22"/>
        </w:rPr>
        <w:t>Signature du requérant ou du représentant habilité.</w:t>
      </w:r>
    </w:p>
    <w:p>
      <w:pPr>
        <w:spacing w:after="80" w:before="0"/>
      </w:pPr>
      <w:r>
        <w:rPr>
          <w:rFonts w:ascii="Calibri" w:hAnsi="Calibri" w:eastAsia="Calibri"/>
          <w:b/>
          <w:sz w:val="22"/>
        </w:rPr>
        <w:t>5. Envoi et langues</w:t>
      </w:r>
    </w:p>
    <w:p>
      <w:pPr>
        <w:spacing w:after="240" w:before="0"/>
        <w:jc w:val="both"/>
      </w:pPr>
      <w:r>
        <w:rPr>
          <w:rFonts w:ascii="Calibri" w:hAnsi="Calibri" w:eastAsia="Calibri"/>
          <w:sz w:val="22"/>
        </w:rPr>
        <w:t>La requête se dépose auprès du greffe de la Cour à Strasbourg, selon les modalités indiquées sur le site officiel (adresse postale et éventuelles consignes d’envoi). Les langues officielles de la Cour sont le français et l’anglais ; au stade initial, d’autres langues des États parties peuvent être acceptées selon les règles de la Cour.</w:t>
      </w:r>
    </w:p>
    <w:p>
      <w:pPr>
        <w:spacing w:after="80" w:before="0"/>
      </w:pPr>
      <w:r>
        <w:rPr>
          <w:rFonts w:ascii="Calibri" w:hAnsi="Calibri" w:eastAsia="Calibri"/>
          <w:b/>
          <w:sz w:val="22"/>
        </w:rPr>
        <w:t>6. Mesures provisoires</w:t>
      </w:r>
    </w:p>
    <w:p>
      <w:pPr>
        <w:spacing w:after="240" w:before="0"/>
        <w:jc w:val="both"/>
      </w:pPr>
      <w:r>
        <w:rPr>
          <w:rFonts w:ascii="Calibri" w:hAnsi="Calibri" w:eastAsia="Calibri"/>
          <w:sz w:val="22"/>
        </w:rPr>
        <w:t>Dans des situations d’urgence extrême (risque imminent de dommage irréparable, par exemple un éloignement vers un pays où existe un risque sérieux), une demande de mesure provisoire peut être présentée selon les instructions spécifiques de la Cour. Agissez sans délai et faites-vous assister.</w:t>
      </w:r>
    </w:p>
    <w:p>
      <w:pPr>
        <w:spacing w:after="80" w:before="0"/>
      </w:pPr>
      <w:r>
        <w:rPr>
          <w:rFonts w:ascii="Calibri" w:hAnsi="Calibri" w:eastAsia="Calibri"/>
          <w:b/>
          <w:sz w:val="22"/>
        </w:rPr>
        <w:t>7. Ce que la Cour ne fait pas</w:t>
      </w:r>
    </w:p>
    <w:p>
      <w:pPr>
        <w:spacing w:after="40" w:before="0"/>
        <w:jc w:val="both"/>
      </w:pPr>
      <w:r>
        <w:rPr>
          <w:rFonts w:ascii="Calibri" w:hAnsi="Calibri" w:eastAsia="Calibri"/>
          <w:sz w:val="22"/>
        </w:rPr>
        <w:t xml:space="preserve">– </w:t>
      </w:r>
      <w:r>
        <w:rPr>
          <w:rFonts w:ascii="Calibri" w:hAnsi="Calibri" w:eastAsia="Calibri"/>
          <w:sz w:val="22"/>
        </w:rPr>
        <w:t>Elle n’est pas un « quatrième degré » de juridiction : elle ne rejuge pas l’affaire au fond comme le ferait une cour d’appel.</w:t>
      </w:r>
    </w:p>
    <w:p>
      <w:pPr>
        <w:spacing w:after="40" w:before="0"/>
        <w:jc w:val="both"/>
      </w:pPr>
      <w:r>
        <w:rPr>
          <w:rFonts w:ascii="Calibri" w:hAnsi="Calibri" w:eastAsia="Calibri"/>
          <w:sz w:val="22"/>
        </w:rPr>
        <w:t xml:space="preserve">– </w:t>
      </w:r>
      <w:r>
        <w:rPr>
          <w:rFonts w:ascii="Calibri" w:hAnsi="Calibri" w:eastAsia="Calibri"/>
          <w:sz w:val="22"/>
        </w:rPr>
        <w:t>Elle ne peut en principe pas annuler directement une décision nationale ; elle constate une violation et peut allouer une satisfaction équitable.</w:t>
      </w:r>
    </w:p>
    <w:p>
      <w:pPr>
        <w:spacing w:after="240" w:before="0"/>
        <w:jc w:val="both"/>
      </w:pPr>
      <w:r>
        <w:rPr>
          <w:rFonts w:ascii="Calibri" w:hAnsi="Calibri" w:eastAsia="Calibri"/>
          <w:sz w:val="22"/>
        </w:rPr>
        <w:t xml:space="preserve">– </w:t>
      </w:r>
      <w:r>
        <w:rPr>
          <w:rFonts w:ascii="Calibri" w:hAnsi="Calibri" w:eastAsia="Calibri"/>
          <w:sz w:val="22"/>
        </w:rPr>
        <w:t>Elle n’accorde pas d’aide juridictionnelle au stade de l’introduction de la requête (des possibilités limitées existent plus tard, selon les cas).</w:t>
      </w:r>
    </w:p>
    <w:p>
      <w:pPr>
        <w:spacing w:after="80" w:before="0"/>
      </w:pPr>
      <w:r>
        <w:rPr>
          <w:rFonts w:ascii="Calibri" w:hAnsi="Calibri" w:eastAsia="Calibri"/>
          <w:b/>
          <w:sz w:val="22"/>
        </w:rPr>
        <w:t>Check-list avant envoi</w:t>
      </w:r>
    </w:p>
    <w:p>
      <w:pPr>
        <w:spacing w:after="40" w:before="0"/>
        <w:jc w:val="both"/>
      </w:pPr>
      <w:r>
        <w:rPr>
          <w:rFonts w:ascii="Calibri" w:hAnsi="Calibri" w:eastAsia="Calibri"/>
          <w:sz w:val="22"/>
        </w:rPr>
        <w:t xml:space="preserve">☐ </w:t>
      </w:r>
      <w:r>
        <w:rPr>
          <w:rFonts w:ascii="Calibri" w:hAnsi="Calibri" w:eastAsia="Calibri"/>
          <w:sz w:val="22"/>
        </w:rPr>
        <w:t>décision interne définitive identifiée et date notée ;</w:t>
      </w:r>
    </w:p>
    <w:p>
      <w:pPr>
        <w:spacing w:after="40" w:before="0"/>
        <w:jc w:val="both"/>
      </w:pPr>
      <w:r>
        <w:rPr>
          <w:rFonts w:ascii="Calibri" w:hAnsi="Calibri" w:eastAsia="Calibri"/>
          <w:sz w:val="22"/>
        </w:rPr>
        <w:t xml:space="preserve">☐ </w:t>
      </w:r>
      <w:r>
        <w:rPr>
          <w:rFonts w:ascii="Calibri" w:hAnsi="Calibri" w:eastAsia="Calibri"/>
          <w:sz w:val="22"/>
        </w:rPr>
        <w:t>quatre mois non expirés ;</w:t>
      </w:r>
    </w:p>
    <w:p>
      <w:pPr>
        <w:spacing w:after="40" w:before="0"/>
        <w:jc w:val="both"/>
      </w:pPr>
      <w:r>
        <w:rPr>
          <w:rFonts w:ascii="Calibri" w:hAnsi="Calibri" w:eastAsia="Calibri"/>
          <w:sz w:val="22"/>
        </w:rPr>
        <w:t xml:space="preserve">☐ </w:t>
      </w:r>
      <w:r>
        <w:rPr>
          <w:rFonts w:ascii="Calibri" w:hAnsi="Calibri" w:eastAsia="Calibri"/>
          <w:sz w:val="22"/>
        </w:rPr>
        <w:t>formulaire officiel téléchargé sur le site de la Cour, version à jour ;</w:t>
      </w:r>
    </w:p>
    <w:p>
      <w:pPr>
        <w:spacing w:after="40" w:before="0"/>
        <w:jc w:val="both"/>
      </w:pPr>
      <w:r>
        <w:rPr>
          <w:rFonts w:ascii="Calibri" w:hAnsi="Calibri" w:eastAsia="Calibri"/>
          <w:sz w:val="22"/>
        </w:rPr>
        <w:t xml:space="preserve">☐ </w:t>
      </w:r>
      <w:r>
        <w:rPr>
          <w:rFonts w:ascii="Calibri" w:hAnsi="Calibri" w:eastAsia="Calibri"/>
          <w:sz w:val="22"/>
        </w:rPr>
        <w:t>griefs rattachés à des articles précis de la Convention ;</w:t>
      </w:r>
    </w:p>
    <w:p>
      <w:pPr>
        <w:spacing w:after="40" w:before="0"/>
        <w:jc w:val="both"/>
      </w:pPr>
      <w:r>
        <w:rPr>
          <w:rFonts w:ascii="Calibri" w:hAnsi="Calibri" w:eastAsia="Calibri"/>
          <w:sz w:val="22"/>
        </w:rPr>
        <w:t xml:space="preserve">☐ </w:t>
      </w:r>
      <w:r>
        <w:rPr>
          <w:rFonts w:ascii="Calibri" w:hAnsi="Calibri" w:eastAsia="Calibri"/>
          <w:sz w:val="22"/>
        </w:rPr>
        <w:t>copies des décisions et pièces essentielles jointes ;</w:t>
      </w:r>
    </w:p>
    <w:p>
      <w:pPr>
        <w:spacing w:after="40" w:before="0"/>
        <w:jc w:val="both"/>
      </w:pPr>
      <w:r>
        <w:rPr>
          <w:rFonts w:ascii="Calibri" w:hAnsi="Calibri" w:eastAsia="Calibri"/>
          <w:sz w:val="22"/>
        </w:rPr>
        <w:t xml:space="preserve">☐ </w:t>
      </w:r>
      <w:r>
        <w:rPr>
          <w:rFonts w:ascii="Calibri" w:hAnsi="Calibri" w:eastAsia="Calibri"/>
          <w:sz w:val="22"/>
        </w:rPr>
        <w:t>formulaire signé ; preuve d’envoi conservée.</w:t>
      </w:r>
    </w:p>
    <w:p>
      <w:pPr>
        <w:spacing w:after="160"/>
      </w:pPr>
    </w:p>
    <w:p>
      <w:pPr>
        <w:spacing w:after="80" w:before="0"/>
      </w:pPr>
      <w:r>
        <w:rPr>
          <w:rFonts w:ascii="Calibri" w:hAnsi="Calibri" w:eastAsia="Calibri"/>
          <w:b/>
          <w:sz w:val="22"/>
        </w:rPr>
        <w:t>Avertissement</w:t>
      </w:r>
    </w:p>
    <w:p>
      <w:pPr>
        <w:spacing w:after="160" w:before="0"/>
        <w:jc w:val="both"/>
      </w:pPr>
      <w:r>
        <w:rPr>
          <w:rFonts w:ascii="Calibri" w:hAnsi="Calibri" w:eastAsia="Calibri"/>
          <w:sz w:val="22"/>
        </w:rPr>
        <w:t>Les conditions de recevabilité sont techniques et évolutives. Une erreur de délai, de formulaire ou d’épuisement des recours rend la requête irrecevable, le plus souvent sans possibilité de régularisation. Faites analyser votre dossier par un avocat avant l’expiration du délai de quatre mois.</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 délai de quatre mois court à compter de la décision interne définitive. Ne calculez pas ce délai seul si votre parcours judiciaire est complexe (cassation, QPC, recours parallèles) : une erreur est fréquente et souvent irrémédiable.</w:t>
      </w:r>
    </w:p>
    <w:p>
      <w:pPr>
        <w:spacing w:after="100" w:before="0"/>
        <w:jc w:val="both"/>
      </w:pPr>
      <w:r>
        <w:rPr>
          <w:rFonts w:ascii="Calibri" w:hAnsi="Calibri" w:eastAsia="Calibri"/>
          <w:color w:val="374151"/>
          <w:sz w:val="20"/>
        </w:rPr>
        <w:t>• Utilisez exclusivement le formulaire et les notices publiés sur le site officiel de la Cour européenne des droits de l’homme. Ne recopiez pas un ancien formulaire trouvé ailleurs.</w:t>
      </w:r>
    </w:p>
    <w:p>
      <w:pPr>
        <w:spacing w:after="100" w:before="0"/>
        <w:jc w:val="both"/>
      </w:pPr>
      <w:r>
        <w:rPr>
          <w:rFonts w:ascii="Calibri" w:hAnsi="Calibri" w:eastAsia="Calibri"/>
          <w:color w:val="374151"/>
          <w:sz w:val="20"/>
        </w:rPr>
        <w:t>• Une requête peut être communiquée à l’État mis en cause ; préparez un exposé factuel sobre et étayé par des pièces.</w:t>
      </w:r>
    </w:p>
    <w:p>
      <w:pPr>
        <w:spacing w:after="100" w:before="0"/>
        <w:jc w:val="both"/>
      </w:pPr>
      <w:r>
        <w:rPr>
          <w:rFonts w:ascii="Calibri" w:hAnsi="Calibri" w:eastAsia="Calibri"/>
          <w:color w:val="374151"/>
          <w:sz w:val="20"/>
        </w:rPr>
        <w:t>• Le Cabinet Gasimov, avocat à Strasbourg, accompagne des requérants devant la Cour européenne des droits de l’homme. Cette fiche est informative et ne constitue pas un conseil personnalisé.</w:t>
      </w:r>
    </w:p>
    <w:p>
      <w:pPr>
        <w:spacing w:after="100" w:before="0"/>
        <w:jc w:val="both"/>
      </w:pPr>
      <w:r>
        <w:rPr>
          <w:rFonts w:ascii="Calibri" w:hAnsi="Calibri" w:eastAsia="Calibri"/>
          <w:color w:val="374151"/>
          <w:sz w:val="20"/>
        </w:rPr>
        <w:t>• Supprimez l’en-tête informatif et la présente page si vous conservez uniquement le corps de la fiche.</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pratique — saisir la Cour européenne des droits de l’homme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