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FICHE PRATIQUE — PRÉPARER UN RECOURS DEVANT LE TRIBUNAL ADMINISTRATIF</w:t>
      </w:r>
    </w:p>
    <w:p>
      <w:pPr>
        <w:spacing w:after="280" w:before="0"/>
        <w:jc w:val="center"/>
      </w:pPr>
      <w:r>
        <w:rPr>
          <w:rFonts w:ascii="Calibri" w:hAnsi="Calibri" w:eastAsia="Calibri"/>
          <w:b/>
          <w:sz w:val="22"/>
        </w:rPr>
        <w:t>Cabinet Gasimov — Avocat à Strasbourg</w:t>
      </w:r>
    </w:p>
    <w:p>
      <w:pPr>
        <w:spacing w:after="240" w:before="0"/>
        <w:jc w:val="both"/>
      </w:pPr>
      <w:r>
        <w:rPr>
          <w:rFonts w:ascii="Calibri" w:hAnsi="Calibri" w:eastAsia="Calibri"/>
          <w:sz w:val="22"/>
        </w:rPr>
        <w:t>Repères informatifs pour contester une décision administrative (refus, sanction, retrait, décision implicite…). Des règles spéciales existent dans de nombreux domaines : lisez toujours en priorité les voies et délais de recours mentionnés sur la décision.</w:t>
      </w:r>
    </w:p>
    <w:p>
      <w:pPr>
        <w:spacing w:after="80" w:before="0"/>
      </w:pPr>
      <w:r>
        <w:rPr>
          <w:rFonts w:ascii="Calibri" w:hAnsi="Calibri" w:eastAsia="Calibri"/>
          <w:b/>
          <w:sz w:val="22"/>
        </w:rPr>
        <w:t>1. Identifier la décision et le délai</w:t>
      </w:r>
    </w:p>
    <w:p>
      <w:pPr>
        <w:spacing w:after="80" w:before="0"/>
        <w:jc w:val="both"/>
      </w:pPr>
      <w:r>
        <w:rPr>
          <w:rFonts w:ascii="Calibri" w:hAnsi="Calibri" w:eastAsia="Calibri"/>
          <w:sz w:val="22"/>
        </w:rPr>
        <w:t>Le délai de droit commun est de deux mois à compter de la notification ou de la publication de la décision (article R. 421-1 du code de justice administrative). Ce délai n’est opposable que si la décision mentionne les voies et délais de recours.</w:t>
      </w:r>
    </w:p>
    <w:p>
      <w:pPr>
        <w:spacing w:after="80" w:before="0"/>
        <w:jc w:val="both"/>
      </w:pPr>
      <w:r>
        <w:rPr>
          <w:rFonts w:ascii="Calibri" w:hAnsi="Calibri" w:eastAsia="Calibri"/>
          <w:sz w:val="22"/>
        </w:rPr>
        <w:t>Lorsque l’administration garde le silence sur une demande, une décision implicite peut naître (le plus souvent au bout de deux mois). Selon les matières, ce silence vaut acceptation ou rejet.</w:t>
      </w:r>
    </w:p>
    <w:p>
      <w:pPr>
        <w:spacing w:after="80" w:before="0"/>
        <w:jc w:val="both"/>
      </w:pPr>
      <w:r>
        <w:rPr>
          <w:rFonts w:ascii="Calibri" w:hAnsi="Calibri" w:eastAsia="Calibri"/>
          <w:sz w:val="22"/>
        </w:rPr>
        <w:t>En l’absence de mention des voies et délais sur la décision, le recours ne peut en principe plus être exercé au-delà d’un délai raisonnable, fixé en règle générale à un an par la jurisprudence.</w:t>
      </w:r>
    </w:p>
    <w:p>
      <w:pPr>
        <w:spacing w:after="240" w:before="0"/>
        <w:jc w:val="both"/>
      </w:pPr>
      <w:r>
        <w:rPr>
          <w:rFonts w:ascii="Calibri" w:hAnsi="Calibri" w:eastAsia="Calibri"/>
          <w:sz w:val="22"/>
        </w:rPr>
        <w:t>Délais spéciaux à surveiller : décisions d’éloignement des étrangers (OQTF et décisions liées), urbanisme, marchés publics, fiscalité, élections… Certains délais sont de quelques jours, voire de 48 heures.</w:t>
      </w:r>
    </w:p>
    <w:p>
      <w:pPr>
        <w:spacing w:after="80" w:before="0"/>
      </w:pPr>
      <w:r>
        <w:rPr>
          <w:rFonts w:ascii="Calibri" w:hAnsi="Calibri" w:eastAsia="Calibri"/>
          <w:b/>
          <w:sz w:val="22"/>
        </w:rPr>
        <w:t>2. Envisager un recours administratif préalable</w:t>
      </w:r>
    </w:p>
    <w:p>
      <w:pPr>
        <w:spacing w:after="80" w:before="0"/>
        <w:jc w:val="both"/>
      </w:pPr>
      <w:r>
        <w:rPr>
          <w:rFonts w:ascii="Calibri" w:hAnsi="Calibri" w:eastAsia="Calibri"/>
          <w:sz w:val="22"/>
        </w:rPr>
        <w:t>Un recours gracieux (auprès de l’auteur de la décision) ou hiérarchique (auprès de son supérieur), formé dans le délai de recours contentieux, interrompt en principe ce délai (article L. 411-2 du code des relations entre le public et l’administration) : un nouveau délai de deux mois court à compter de la réponse ou du rejet implicite. Un seul recours administratif produit cet effet.</w:t>
      </w:r>
    </w:p>
    <w:p>
      <w:pPr>
        <w:spacing w:after="240" w:before="0"/>
        <w:jc w:val="both"/>
      </w:pPr>
      <w:r>
        <w:rPr>
          <w:rFonts w:ascii="Calibri" w:hAnsi="Calibri" w:eastAsia="Calibri"/>
          <w:sz w:val="22"/>
        </w:rPr>
        <w:t>Dans certains domaines, un recours administratif préalable est obligatoire avant toute saisine du juge (par exemple pour la plupart des décisions individuelles concernant les militaires, ou en matière fiscale, où une réclamation préalable auprès de l’administration est exigée). Il ne peut alors pas être omis. À l’inverse, en matière d’éloignement des étrangers, un recours administratif n’interrompt pas le délai de recours contre l’OQTF.</w:t>
      </w:r>
    </w:p>
    <w:p>
      <w:pPr>
        <w:spacing w:after="80" w:before="0"/>
      </w:pPr>
      <w:r>
        <w:rPr>
          <w:rFonts w:ascii="Calibri" w:hAnsi="Calibri" w:eastAsia="Calibri"/>
          <w:b/>
          <w:sz w:val="22"/>
        </w:rPr>
        <w:t>3. Déterminer le tribunal compétent</w:t>
      </w:r>
    </w:p>
    <w:p>
      <w:pPr>
        <w:spacing w:after="240" w:before="0"/>
        <w:jc w:val="both"/>
      </w:pPr>
      <w:r>
        <w:rPr>
          <w:rFonts w:ascii="Calibri" w:hAnsi="Calibri" w:eastAsia="Calibri"/>
          <w:sz w:val="22"/>
        </w:rPr>
        <w:t>En principe, le tribunal administratif compétent est celui dans le ressort duquel a son siège l’autorité qui a pris la décision ; de nombreuses exceptions existent (fonction publique, étrangers, immeubles…). Le tribunal administratif de Strasbourg est compétent pour le Bas-Rhin, le Haut-Rhin et la Moselle.</w:t>
      </w:r>
    </w:p>
    <w:p>
      <w:pPr>
        <w:spacing w:after="80" w:before="0"/>
      </w:pPr>
      <w:r>
        <w:rPr>
          <w:rFonts w:ascii="Calibri" w:hAnsi="Calibri" w:eastAsia="Calibri"/>
          <w:b/>
          <w:sz w:val="22"/>
        </w:rPr>
        <w:t>4. Rédiger la requête</w:t>
      </w:r>
    </w:p>
    <w:p>
      <w:pPr>
        <w:spacing w:after="80" w:before="0"/>
        <w:jc w:val="both"/>
      </w:pPr>
      <w:r>
        <w:rPr>
          <w:rFonts w:ascii="Calibri" w:hAnsi="Calibri" w:eastAsia="Calibri"/>
          <w:sz w:val="22"/>
        </w:rPr>
        <w:t>La requête est écrite, en français, et contient l’exposé des faits, les moyens (arguments juridiques) et les conclusions (ce que vous demandez au juge). Elle est accompagnée de la décision attaquée ou, pour une décision implicite, de la preuve de la demande restée sans réponse.</w:t>
      </w:r>
    </w:p>
    <w:p>
      <w:pPr>
        <w:spacing w:after="40" w:before="0"/>
        <w:jc w:val="both"/>
      </w:pPr>
      <w:r>
        <w:rPr>
          <w:rFonts w:ascii="Calibri" w:hAnsi="Calibri" w:eastAsia="Calibri"/>
          <w:sz w:val="22"/>
        </w:rPr>
        <w:t xml:space="preserve">– </w:t>
      </w:r>
      <w:r>
        <w:rPr>
          <w:rFonts w:ascii="Calibri" w:hAnsi="Calibri" w:eastAsia="Calibri"/>
          <w:sz w:val="22"/>
        </w:rPr>
        <w:t>Faits : chronologie courte et datée, pièces numérotées à l’appui.</w:t>
      </w:r>
    </w:p>
    <w:p>
      <w:pPr>
        <w:spacing w:after="40" w:before="0"/>
        <w:jc w:val="both"/>
      </w:pPr>
      <w:r>
        <w:rPr>
          <w:rFonts w:ascii="Calibri" w:hAnsi="Calibri" w:eastAsia="Calibri"/>
          <w:sz w:val="22"/>
        </w:rPr>
        <w:t xml:space="preserve">– </w:t>
      </w:r>
      <w:r>
        <w:rPr>
          <w:rFonts w:ascii="Calibri" w:hAnsi="Calibri" w:eastAsia="Calibri"/>
          <w:sz w:val="22"/>
        </w:rPr>
        <w:t>Légalité externe : compétence de l’auteur, procédure suivie (consultation, procédure contradictoire), motivation.</w:t>
      </w:r>
    </w:p>
    <w:p>
      <w:pPr>
        <w:spacing w:after="40" w:before="0"/>
        <w:jc w:val="both"/>
      </w:pPr>
      <w:r>
        <w:rPr>
          <w:rFonts w:ascii="Calibri" w:hAnsi="Calibri" w:eastAsia="Calibri"/>
          <w:sz w:val="22"/>
        </w:rPr>
        <w:t xml:space="preserve">– </w:t>
      </w:r>
      <w:r>
        <w:rPr>
          <w:rFonts w:ascii="Calibri" w:hAnsi="Calibri" w:eastAsia="Calibri"/>
          <w:sz w:val="22"/>
        </w:rPr>
        <w:t>Légalité interne : erreur de droit, erreur de fait, erreur d’appréciation, atteinte à un droit fondamental (vie privée et familiale, etc.).</w:t>
      </w:r>
    </w:p>
    <w:p>
      <w:pPr>
        <w:spacing w:after="240" w:before="0"/>
        <w:jc w:val="both"/>
      </w:pPr>
      <w:r>
        <w:rPr>
          <w:rFonts w:ascii="Calibri" w:hAnsi="Calibri" w:eastAsia="Calibri"/>
          <w:sz w:val="22"/>
        </w:rPr>
        <w:t xml:space="preserve">– </w:t>
      </w:r>
      <w:r>
        <w:rPr>
          <w:rFonts w:ascii="Calibri" w:hAnsi="Calibri" w:eastAsia="Calibri"/>
          <w:sz w:val="22"/>
        </w:rPr>
        <w:t>Conclusions : annulation de la décision et, le cas échéant, injonction de réexaminer ou de délivrer, frais de procédure.</w:t>
      </w:r>
    </w:p>
    <w:p>
      <w:pPr>
        <w:spacing w:after="80" w:before="0"/>
      </w:pPr>
      <w:r>
        <w:rPr>
          <w:rFonts w:ascii="Calibri" w:hAnsi="Calibri" w:eastAsia="Calibri"/>
          <w:b/>
          <w:sz w:val="22"/>
        </w:rPr>
        <w:t>5. Demandes indemnitaires</w:t>
      </w:r>
    </w:p>
    <w:p>
      <w:pPr>
        <w:spacing w:after="240" w:before="0"/>
        <w:jc w:val="both"/>
      </w:pPr>
      <w:r>
        <w:rPr>
          <w:rFonts w:ascii="Calibri" w:hAnsi="Calibri" w:eastAsia="Calibri"/>
          <w:sz w:val="22"/>
        </w:rPr>
        <w:t>Pour obtenir une somme d’argent de l’administration, il faut d’abord lui adresser une demande préalable chiffrée ; c’est sa décision (expresse ou implicite) qui pourra ensuite être contestée devant le tribunal. Le ministère d’avocat est obligatoire pour de nombreuses demandes indemnitaires.</w:t>
      </w:r>
    </w:p>
    <w:p>
      <w:pPr>
        <w:spacing w:after="80" w:before="0"/>
      </w:pPr>
      <w:r>
        <w:rPr>
          <w:rFonts w:ascii="Calibri" w:hAnsi="Calibri" w:eastAsia="Calibri"/>
          <w:b/>
          <w:sz w:val="22"/>
        </w:rPr>
        <w:t>6. L’urgence : les référés</w:t>
      </w:r>
    </w:p>
    <w:p>
      <w:pPr>
        <w:spacing w:after="40" w:before="0"/>
        <w:jc w:val="both"/>
      </w:pPr>
      <w:r>
        <w:rPr>
          <w:rFonts w:ascii="Calibri" w:hAnsi="Calibri" w:eastAsia="Calibri"/>
          <w:sz w:val="22"/>
        </w:rPr>
        <w:t xml:space="preserve">– </w:t>
      </w:r>
      <w:r>
        <w:rPr>
          <w:rFonts w:ascii="Calibri" w:hAnsi="Calibri" w:eastAsia="Calibri"/>
          <w:sz w:val="22"/>
        </w:rPr>
        <w:t>Référé-suspension (article L. 521-1 du code de justice administrative) : suspension de la décision en cas d’urgence et de doute sérieux sur sa légalité. Il doit être accompagné d’une requête au fond (annulation).</w:t>
      </w:r>
    </w:p>
    <w:p>
      <w:pPr>
        <w:spacing w:after="240" w:before="0"/>
        <w:jc w:val="both"/>
      </w:pPr>
      <w:r>
        <w:rPr>
          <w:rFonts w:ascii="Calibri" w:hAnsi="Calibri" w:eastAsia="Calibri"/>
          <w:sz w:val="22"/>
        </w:rPr>
        <w:t xml:space="preserve">– </w:t>
      </w:r>
      <w:r>
        <w:rPr>
          <w:rFonts w:ascii="Calibri" w:hAnsi="Calibri" w:eastAsia="Calibri"/>
          <w:sz w:val="22"/>
        </w:rPr>
        <w:t>Référé-liberté (article L. 521-2 du même code) : en cas d’atteinte grave et manifestement illégale à une liberté fondamentale ; le juge statue en principe dans les 48 heures.</w:t>
      </w:r>
    </w:p>
    <w:p>
      <w:pPr>
        <w:spacing w:after="80" w:before="0"/>
      </w:pPr>
      <w:r>
        <w:rPr>
          <w:rFonts w:ascii="Calibri" w:hAnsi="Calibri" w:eastAsia="Calibri"/>
          <w:b/>
          <w:sz w:val="22"/>
        </w:rPr>
        <w:t>7. Déposer et suivre le recours</w:t>
      </w:r>
    </w:p>
    <w:p>
      <w:pPr>
        <w:spacing w:after="40" w:before="0"/>
        <w:jc w:val="both"/>
      </w:pPr>
      <w:r>
        <w:rPr>
          <w:rFonts w:ascii="Calibri" w:hAnsi="Calibri" w:eastAsia="Calibri"/>
          <w:sz w:val="22"/>
        </w:rPr>
        <w:t xml:space="preserve">– </w:t>
      </w:r>
      <w:r>
        <w:rPr>
          <w:rFonts w:ascii="Calibri" w:hAnsi="Calibri" w:eastAsia="Calibri"/>
          <w:sz w:val="22"/>
        </w:rPr>
        <w:t>Dépôt : par l’application Télérecours citoyens (recommandée), par courrier ou au greffe du tribunal. Les avocats et les administrations utilisent obligatoirement la voie électronique.</w:t>
      </w:r>
    </w:p>
    <w:p>
      <w:pPr>
        <w:spacing w:after="40" w:before="0"/>
        <w:jc w:val="both"/>
      </w:pPr>
      <w:r>
        <w:rPr>
          <w:rFonts w:ascii="Calibri" w:hAnsi="Calibri" w:eastAsia="Calibri"/>
          <w:sz w:val="22"/>
        </w:rPr>
        <w:t xml:space="preserve">– </w:t>
      </w:r>
      <w:r>
        <w:rPr>
          <w:rFonts w:ascii="Calibri" w:hAnsi="Calibri" w:eastAsia="Calibri"/>
          <w:sz w:val="22"/>
        </w:rPr>
        <w:t>Avocat : il n’est pas obligatoire pour de nombreux recours en première instance, notamment le recours pour excès de pouvoir ; il l’est pour certaines matières. L’aide juridictionnelle peut être demandée selon vos ressources.</w:t>
      </w:r>
    </w:p>
    <w:p>
      <w:pPr>
        <w:spacing w:after="240" w:before="0"/>
        <w:jc w:val="both"/>
      </w:pPr>
      <w:r>
        <w:rPr>
          <w:rFonts w:ascii="Calibri" w:hAnsi="Calibri" w:eastAsia="Calibri"/>
          <w:sz w:val="22"/>
        </w:rPr>
        <w:t xml:space="preserve">– </w:t>
      </w:r>
      <w:r>
        <w:rPr>
          <w:rFonts w:ascii="Calibri" w:hAnsi="Calibri" w:eastAsia="Calibri"/>
          <w:sz w:val="22"/>
        </w:rPr>
        <w:t>Suivi : le recours n’est en principe pas suspensif. Répondez aux mesures d’instruction et aux mémoires de l’administration dans les délais fixés par le greffe.</w:t>
      </w:r>
    </w:p>
    <w:p>
      <w:pPr>
        <w:spacing w:after="80" w:before="0"/>
      </w:pPr>
      <w:r>
        <w:rPr>
          <w:rFonts w:ascii="Calibri" w:hAnsi="Calibri" w:eastAsia="Calibri"/>
          <w:b/>
          <w:sz w:val="22"/>
        </w:rPr>
        <w:t>8. Pièces à rassembler</w:t>
      </w:r>
    </w:p>
    <w:p>
      <w:pPr>
        <w:spacing w:after="40" w:before="0"/>
        <w:jc w:val="both"/>
      </w:pPr>
      <w:r>
        <w:rPr>
          <w:rFonts w:ascii="Calibri" w:hAnsi="Calibri" w:eastAsia="Calibri"/>
          <w:sz w:val="22"/>
        </w:rPr>
        <w:t xml:space="preserve">☐ </w:t>
      </w:r>
      <w:r>
        <w:rPr>
          <w:rFonts w:ascii="Calibri" w:hAnsi="Calibri" w:eastAsia="Calibri"/>
          <w:sz w:val="22"/>
        </w:rPr>
        <w:t>la décision contestée (avec l’enveloppe ou l’avis de réception montrant la date de notification) ;</w:t>
      </w:r>
    </w:p>
    <w:p>
      <w:pPr>
        <w:spacing w:after="40" w:before="0"/>
        <w:jc w:val="both"/>
      </w:pPr>
      <w:r>
        <w:rPr>
          <w:rFonts w:ascii="Calibri" w:hAnsi="Calibri" w:eastAsia="Calibri"/>
          <w:sz w:val="22"/>
        </w:rPr>
        <w:t xml:space="preserve">☐ </w:t>
      </w:r>
      <w:r>
        <w:rPr>
          <w:rFonts w:ascii="Calibri" w:hAnsi="Calibri" w:eastAsia="Calibri"/>
          <w:sz w:val="22"/>
        </w:rPr>
        <w:t>votre demande initiale et la preuve de son envoi, si la décision est implicite ;</w:t>
      </w:r>
    </w:p>
    <w:p>
      <w:pPr>
        <w:spacing w:after="40" w:before="0"/>
        <w:jc w:val="both"/>
      </w:pPr>
      <w:r>
        <w:rPr>
          <w:rFonts w:ascii="Calibri" w:hAnsi="Calibri" w:eastAsia="Calibri"/>
          <w:sz w:val="22"/>
        </w:rPr>
        <w:t xml:space="preserve">☐ </w:t>
      </w:r>
      <w:r>
        <w:rPr>
          <w:rFonts w:ascii="Calibri" w:hAnsi="Calibri" w:eastAsia="Calibri"/>
          <w:sz w:val="22"/>
        </w:rPr>
        <w:t>le recours gracieux ou hiérarchique éventuel et la réponse reçue ;</w:t>
      </w:r>
    </w:p>
    <w:p>
      <w:pPr>
        <w:spacing w:after="40" w:before="0"/>
        <w:jc w:val="both"/>
      </w:pPr>
      <w:r>
        <w:rPr>
          <w:rFonts w:ascii="Calibri" w:hAnsi="Calibri" w:eastAsia="Calibri"/>
          <w:sz w:val="22"/>
        </w:rPr>
        <w:t xml:space="preserve">☐ </w:t>
      </w:r>
      <w:r>
        <w:rPr>
          <w:rFonts w:ascii="Calibri" w:hAnsi="Calibri" w:eastAsia="Calibri"/>
          <w:sz w:val="22"/>
        </w:rPr>
        <w:t>les échanges avec l’administration et toutes les pièces utiles au fond, numérotées et listées dans un bordereau ;</w:t>
      </w:r>
    </w:p>
    <w:p>
      <w:pPr>
        <w:spacing w:after="40" w:before="0"/>
        <w:jc w:val="both"/>
      </w:pPr>
      <w:r>
        <w:rPr>
          <w:rFonts w:ascii="Calibri" w:hAnsi="Calibri" w:eastAsia="Calibri"/>
          <w:sz w:val="22"/>
        </w:rPr>
        <w:t xml:space="preserve">☐ </w:t>
      </w:r>
      <w:r>
        <w:rPr>
          <w:rFonts w:ascii="Calibri" w:hAnsi="Calibri" w:eastAsia="Calibri"/>
          <w:sz w:val="22"/>
        </w:rPr>
        <w:t>une pièce d’identité et, le cas échéant, la décision d’aide juridictionnelle ou la demande déposée.</w:t>
      </w:r>
    </w:p>
    <w:p>
      <w:pPr>
        <w:spacing w:after="160"/>
      </w:pPr>
    </w:p>
    <w:p>
      <w:pPr>
        <w:spacing w:after="80" w:before="0"/>
      </w:pPr>
      <w:r>
        <w:rPr>
          <w:rFonts w:ascii="Calibri" w:hAnsi="Calibri" w:eastAsia="Calibri"/>
          <w:b/>
          <w:sz w:val="22"/>
        </w:rPr>
        <w:t>Avertissement</w:t>
      </w:r>
    </w:p>
    <w:p>
      <w:pPr>
        <w:spacing w:after="160" w:before="0"/>
        <w:jc w:val="both"/>
      </w:pPr>
      <w:r>
        <w:rPr>
          <w:rFonts w:ascii="Calibri" w:hAnsi="Calibri" w:eastAsia="Calibri"/>
          <w:sz w:val="22"/>
        </w:rPr>
        <w:t>Cette fiche présente des règles générales. Un délai mal calculé rend le recours irrecevable : en cas de doute, faites analyser la décision par un avocat sans attendre.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Les délais indiqués sont ceux du droit commun ; de nombreuses procédures spéciales y dérogent. Lisez d’abord les voies et délais figurant sur la décision.</w:t>
      </w:r>
    </w:p>
    <w:p>
      <w:pPr>
        <w:spacing w:after="100" w:before="0"/>
        <w:jc w:val="both"/>
      </w:pPr>
      <w:r>
        <w:rPr>
          <w:rFonts w:ascii="Calibri" w:hAnsi="Calibri" w:eastAsia="Calibri"/>
          <w:color w:val="374151"/>
          <w:sz w:val="20"/>
        </w:rPr>
        <w:t>• Un délai qui expire un samedi, un dimanche ou un jour férié est en principe prorogé jusqu’au premier jour ouvrable suivant. N’attendez pas le dernier jour.</w:t>
      </w:r>
    </w:p>
    <w:p>
      <w:pPr>
        <w:spacing w:after="100" w:before="0"/>
        <w:jc w:val="both"/>
      </w:pPr>
      <w:r>
        <w:rPr>
          <w:rFonts w:ascii="Calibri" w:hAnsi="Calibri" w:eastAsia="Calibri"/>
          <w:color w:val="374151"/>
          <w:sz w:val="20"/>
        </w:rPr>
        <w:t>• Un modèle de recours gracieux et un modèle de demande des motifs d’une décision implicite de rejet sont disponibles sur la même page.</w:t>
      </w:r>
    </w:p>
    <w:p>
      <w:pPr>
        <w:spacing w:after="100" w:before="0"/>
        <w:jc w:val="both"/>
      </w:pPr>
      <w:r>
        <w:rPr>
          <w:rFonts w:ascii="Calibri" w:hAnsi="Calibri" w:eastAsia="Calibri"/>
          <w:color w:val="374151"/>
          <w:sz w:val="20"/>
        </w:rPr>
        <w:t>• Cette fiche ne constitue pas un conseil personnalisé et peut devenir incomplète en cas d’évolution des textes.</w:t>
      </w:r>
    </w:p>
    <w:p>
      <w:pPr>
        <w:spacing w:after="100" w:before="0"/>
        <w:jc w:val="both"/>
      </w:pPr>
      <w:r>
        <w:rPr>
          <w:rFonts w:ascii="Calibri" w:hAnsi="Calibri" w:eastAsia="Calibri"/>
          <w:color w:val="374151"/>
          <w:sz w:val="20"/>
        </w:rPr>
        <w:t>• Supprimez l’en-tête informatif et la présente page si vous conservez uniquement le corps de la fiche.</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pratique — préparer un recours devant le tribunal administratif</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