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 w:before="0"/>
        <w:jc w:val="center"/>
      </w:pPr>
      <w:r>
        <w:rPr>
          <w:rFonts w:ascii="Calibri" w:hAnsi="Calibri" w:eastAsia="Calibri"/>
          <w:b/>
          <w:sz w:val="24"/>
        </w:rPr>
        <w:t>FICHE PRATIQUE — QUE FAIRE FACE À UNE OQTF</w:t>
      </w:r>
    </w:p>
    <w:p>
      <w:pPr>
        <w:spacing w:after="200" w:before="0"/>
        <w:jc w:val="center"/>
      </w:pPr>
      <w:r>
        <w:rPr>
          <w:rFonts w:ascii="Calibri" w:hAnsi="Calibri" w:eastAsia="Calibri"/>
          <w:b/>
          <w:sz w:val="22"/>
        </w:rPr>
        <w:t>Cabinet Gasimov — Avocat à Strasbourg</w:t>
      </w:r>
    </w:p>
    <w:p>
      <w:pPr>
        <w:spacing w:after="200" w:before="0"/>
        <w:jc w:val="both"/>
      </w:pPr>
      <w:r>
        <w:rPr>
          <w:rFonts w:ascii="Calibri" w:hAnsi="Calibri" w:eastAsia="Calibri"/>
          <w:b/>
          <w:sz w:val="22"/>
        </w:rPr>
        <w:t>Document informatif.</w:t>
      </w:r>
      <w:r>
        <w:rPr>
          <w:rFonts w:ascii="Calibri" w:hAnsi="Calibri" w:eastAsia="Calibri"/>
          <w:sz w:val="22"/>
        </w:rPr>
        <w:t xml:space="preserve"> Les règles d’éloignement évoluent. </w:t>
      </w:r>
      <w:r>
        <w:rPr>
          <w:rFonts w:ascii="Calibri" w:hAnsi="Calibri" w:eastAsia="Calibri"/>
          <w:b/>
          <w:sz w:val="22"/>
        </w:rPr>
        <w:t>Lisez d’abord votre notification</w:t>
      </w:r>
      <w:r>
        <w:rPr>
          <w:rFonts w:ascii="Calibri" w:hAnsi="Calibri" w:eastAsia="Calibri"/>
          <w:sz w:val="22"/>
        </w:rPr>
        <w:t xml:space="preserve"> (voies et délais de recours) et la fiche officielle service-public.fr « Obligation de quitter le territoire français (OQTF) » (F18362). Cette page peut porter la mention « en cours de mise à jour ». En cas de doute, contactez immédiatement un avocat.</w:t>
      </w:r>
    </w:p>
    <w:p>
      <w:pPr>
        <w:spacing w:after="80" w:before="0"/>
      </w:pPr>
      <w:r>
        <w:rPr>
          <w:rFonts w:ascii="Calibri" w:hAnsi="Calibri" w:eastAsia="Calibri"/>
          <w:b/>
          <w:sz w:val="22"/>
        </w:rPr>
        <w:t>1. Identifier ce qui vous a été notifié</w:t>
      </w:r>
    </w:p>
    <w:p>
      <w:pPr>
        <w:spacing w:after="160" w:before="0"/>
        <w:jc w:val="both"/>
      </w:pPr>
      <w:r>
        <w:rPr>
          <w:rFonts w:ascii="Calibri" w:hAnsi="Calibri" w:eastAsia="Calibri"/>
          <w:sz w:val="22"/>
        </w:rPr>
        <w:t>Une OQTF peut s’accompagner d’un délai de départ volontaire ou non, d’une interdiction de retour (IRTF), d’une décision fixant le pays de destination, d’une assignation à résidence ou d’un placement en rétention. Chaque décision peut être contestée ; les délais figurent sur la notification.</w:t>
      </w:r>
    </w:p>
    <w:p>
      <w:pPr>
        <w:spacing w:after="80" w:before="0"/>
      </w:pPr>
      <w:r>
        <w:rPr>
          <w:rFonts w:ascii="Calibri" w:hAnsi="Calibri" w:eastAsia="Calibri"/>
          <w:b/>
          <w:sz w:val="22"/>
        </w:rPr>
        <w:t>2. Repères de délais de recours (à confronter à votre acte et à F18362)</w:t>
      </w:r>
    </w:p>
    <w:p>
      <w:pPr>
        <w:spacing w:after="160" w:before="0"/>
        <w:jc w:val="both"/>
      </w:pPr>
      <w:r>
        <w:rPr>
          <w:rFonts w:ascii="Calibri" w:hAnsi="Calibri" w:eastAsia="Calibri"/>
          <w:sz w:val="22"/>
        </w:rPr>
        <w:t>Repères issus de la fiche service-public F18362 (à confronter à votre notification et à la version en ligne le jour J) :</w:t>
      </w:r>
    </w:p>
    <w:p>
      <w:pPr>
        <w:spacing w:after="40" w:before="0"/>
        <w:jc w:val="both"/>
      </w:pPr>
      <w:r>
        <w:rPr>
          <w:rFonts w:ascii="Calibri" w:hAnsi="Calibri" w:eastAsia="Calibri"/>
          <w:sz w:val="22"/>
        </w:rPr>
        <w:t xml:space="preserve">– </w:t>
      </w:r>
      <w:r>
        <w:rPr>
          <w:rFonts w:ascii="Calibri" w:hAnsi="Calibri" w:eastAsia="Calibri"/>
          <w:sz w:val="22"/>
        </w:rPr>
        <w:t>Sans assignation ni rétention : recours devant le tribunal administratif en principe dans un délai d’</w:t>
      </w:r>
      <w:r>
        <w:rPr>
          <w:rFonts w:ascii="Calibri" w:hAnsi="Calibri" w:eastAsia="Calibri"/>
          <w:b/>
          <w:sz w:val="22"/>
        </w:rPr>
        <w:t>un mois</w:t>
      </w:r>
      <w:r>
        <w:rPr>
          <w:rFonts w:ascii="Calibri" w:hAnsi="Calibri" w:eastAsia="Calibri"/>
          <w:sz w:val="22"/>
        </w:rPr>
        <w:t xml:space="preserve"> à compter de la notification.</w:t>
      </w:r>
    </w:p>
    <w:p>
      <w:pPr>
        <w:spacing w:after="40" w:before="0"/>
        <w:jc w:val="both"/>
      </w:pPr>
      <w:r>
        <w:rPr>
          <w:rFonts w:ascii="Calibri" w:hAnsi="Calibri" w:eastAsia="Calibri"/>
          <w:sz w:val="22"/>
        </w:rPr>
        <w:t xml:space="preserve">– </w:t>
      </w:r>
      <w:r>
        <w:rPr>
          <w:rFonts w:ascii="Calibri" w:hAnsi="Calibri" w:eastAsia="Calibri"/>
          <w:sz w:val="22"/>
        </w:rPr>
        <w:t xml:space="preserve">En cas d’assignation à résidence : délai en principe de </w:t>
      </w:r>
      <w:r>
        <w:rPr>
          <w:rFonts w:ascii="Calibri" w:hAnsi="Calibri" w:eastAsia="Calibri"/>
          <w:b/>
          <w:sz w:val="22"/>
        </w:rPr>
        <w:t>sept jours</w:t>
      </w:r>
      <w:r>
        <w:rPr>
          <w:rFonts w:ascii="Calibri" w:hAnsi="Calibri" w:eastAsia="Calibri"/>
          <w:sz w:val="22"/>
        </w:rPr>
        <w:t>.</w:t>
      </w:r>
    </w:p>
    <w:p>
      <w:pPr>
        <w:spacing w:after="40" w:before="0"/>
        <w:jc w:val="both"/>
      </w:pPr>
      <w:r>
        <w:rPr>
          <w:rFonts w:ascii="Calibri" w:hAnsi="Calibri" w:eastAsia="Calibri"/>
          <w:sz w:val="22"/>
        </w:rPr>
        <w:t xml:space="preserve">– </w:t>
      </w:r>
      <w:r>
        <w:rPr>
          <w:rFonts w:ascii="Calibri" w:hAnsi="Calibri" w:eastAsia="Calibri"/>
          <w:sz w:val="22"/>
        </w:rPr>
        <w:t xml:space="preserve">En cas de rétention administrative : délai en principe de </w:t>
      </w:r>
      <w:r>
        <w:rPr>
          <w:rFonts w:ascii="Calibri" w:hAnsi="Calibri" w:eastAsia="Calibri"/>
          <w:b/>
          <w:sz w:val="22"/>
        </w:rPr>
        <w:t>quarante-huit heures</w:t>
      </w:r>
      <w:r>
        <w:rPr>
          <w:rFonts w:ascii="Calibri" w:hAnsi="Calibri" w:eastAsia="Calibri"/>
          <w:sz w:val="22"/>
        </w:rPr>
        <w:t>.</w:t>
      </w:r>
    </w:p>
    <w:p>
      <w:pPr>
        <w:spacing w:after="160" w:before="0"/>
        <w:jc w:val="both"/>
      </w:pPr>
      <w:r>
        <w:rPr>
          <w:rFonts w:ascii="Calibri" w:hAnsi="Calibri" w:eastAsia="Calibri"/>
          <w:b/>
          <w:sz w:val="22"/>
        </w:rPr>
        <w:t>Point essentiel :</w:t>
      </w:r>
      <w:r>
        <w:rPr>
          <w:rFonts w:ascii="Calibri" w:hAnsi="Calibri" w:eastAsia="Calibri"/>
          <w:sz w:val="22"/>
        </w:rPr>
        <w:t xml:space="preserve"> un recours gracieux ou hiérarchique </w:t>
      </w:r>
      <w:r>
        <w:rPr>
          <w:rFonts w:ascii="Calibri" w:hAnsi="Calibri" w:eastAsia="Calibri"/>
          <w:b/>
          <w:sz w:val="22"/>
        </w:rPr>
        <w:t>ne prolonge en principe pas</w:t>
      </w:r>
      <w:r>
        <w:rPr>
          <w:rFonts w:ascii="Calibri" w:hAnsi="Calibri" w:eastAsia="Calibri"/>
          <w:sz w:val="22"/>
        </w:rPr>
        <w:t xml:space="preserve"> ce délai contentieux. Revérifiez F18362 le jour même (réformes possibles).</w:t>
      </w:r>
    </w:p>
    <w:p>
      <w:pPr>
        <w:spacing w:after="80" w:before="0"/>
      </w:pPr>
      <w:r>
        <w:rPr>
          <w:rFonts w:ascii="Calibri" w:hAnsi="Calibri" w:eastAsia="Calibri"/>
          <w:b/>
          <w:sz w:val="22"/>
        </w:rPr>
        <w:t>3. Gestes immédiats</w:t>
      </w:r>
    </w:p>
    <w:p>
      <w:pPr>
        <w:spacing w:after="40" w:before="0"/>
        <w:jc w:val="both"/>
      </w:pPr>
      <w:r>
        <w:rPr>
          <w:rFonts w:ascii="Calibri" w:hAnsi="Calibri" w:eastAsia="Calibri"/>
          <w:sz w:val="22"/>
        </w:rPr>
        <w:t xml:space="preserve">– </w:t>
      </w:r>
      <w:r>
        <w:rPr>
          <w:rFonts w:ascii="Calibri" w:hAnsi="Calibri" w:eastAsia="Calibri"/>
          <w:sz w:val="22"/>
        </w:rPr>
        <w:t>Conserver l’original de la notification ; noter la date et l’heure de remise.</w:t>
      </w:r>
    </w:p>
    <w:p>
      <w:pPr>
        <w:spacing w:after="40" w:before="0"/>
        <w:jc w:val="both"/>
      </w:pPr>
      <w:r>
        <w:rPr>
          <w:rFonts w:ascii="Calibri" w:hAnsi="Calibri" w:eastAsia="Calibri"/>
          <w:sz w:val="22"/>
        </w:rPr>
        <w:t xml:space="preserve">– </w:t>
      </w:r>
      <w:r>
        <w:rPr>
          <w:rFonts w:ascii="Calibri" w:hAnsi="Calibri" w:eastAsia="Calibri"/>
          <w:sz w:val="22"/>
        </w:rPr>
        <w:t>Contacter un avocat sans attendre (aide juridictionnelle possible) — surtout en rétention ou assignation.</w:t>
      </w:r>
    </w:p>
    <w:p>
      <w:pPr>
        <w:spacing w:after="40" w:before="0"/>
        <w:jc w:val="both"/>
      </w:pPr>
      <w:r>
        <w:rPr>
          <w:rFonts w:ascii="Calibri" w:hAnsi="Calibri" w:eastAsia="Calibri"/>
          <w:sz w:val="22"/>
        </w:rPr>
        <w:t xml:space="preserve">– </w:t>
      </w:r>
      <w:r>
        <w:rPr>
          <w:rFonts w:ascii="Calibri" w:hAnsi="Calibri" w:eastAsia="Calibri"/>
          <w:sz w:val="22"/>
        </w:rPr>
        <w:t>Rassembler identité, titre, vie familiale, santé, scolarité, emploi, preuves de domicile et d’insertion.</w:t>
      </w:r>
    </w:p>
    <w:p>
      <w:pPr>
        <w:spacing w:after="160" w:before="0"/>
        <w:jc w:val="both"/>
      </w:pPr>
      <w:r>
        <w:rPr>
          <w:rFonts w:ascii="Calibri" w:hAnsi="Calibri" w:eastAsia="Calibri"/>
          <w:sz w:val="22"/>
        </w:rPr>
        <w:t xml:space="preserve">– </w:t>
      </w:r>
      <w:r>
        <w:rPr>
          <w:rFonts w:ascii="Calibri" w:hAnsi="Calibri" w:eastAsia="Calibri"/>
          <w:sz w:val="22"/>
        </w:rPr>
        <w:t xml:space="preserve">Déposer le recours au tribunal compétent (souvent via Télérecours citoyens) </w:t>
      </w:r>
      <w:r>
        <w:rPr>
          <w:rFonts w:ascii="Calibri" w:hAnsi="Calibri" w:eastAsia="Calibri"/>
          <w:b/>
          <w:sz w:val="22"/>
        </w:rPr>
        <w:t>avant</w:t>
      </w:r>
      <w:r>
        <w:rPr>
          <w:rFonts w:ascii="Calibri" w:hAnsi="Calibri" w:eastAsia="Calibri"/>
          <w:sz w:val="22"/>
        </w:rPr>
        <w:t xml:space="preserve"> l’expiration du délai ; la date d’enregistrement compte.</w:t>
      </w:r>
    </w:p>
    <w:p>
      <w:pPr>
        <w:spacing w:after="80" w:before="0"/>
      </w:pPr>
      <w:r>
        <w:rPr>
          <w:rFonts w:ascii="Calibri" w:hAnsi="Calibri" w:eastAsia="Calibri"/>
          <w:b/>
          <w:sz w:val="22"/>
        </w:rPr>
        <w:t>4. Limites de cette fiche</w:t>
      </w:r>
    </w:p>
    <w:p>
      <w:pPr>
        <w:spacing w:after="160" w:before="0"/>
        <w:jc w:val="both"/>
      </w:pPr>
      <w:r>
        <w:rPr>
          <w:rFonts w:ascii="Calibri" w:hAnsi="Calibri" w:eastAsia="Calibri"/>
          <w:sz w:val="22"/>
        </w:rPr>
        <w:t>Elle ne calcule pas votre délai personnel et ne remplace pas la lecture de votre arrêté. Outre-mer, asile, ressortissants européens et mineurs peuvent relever de règles particulières.</w:t>
      </w:r>
    </w:p>
    <w:p>
      <w:pPr>
        <w:spacing w:after="80" w:before="0"/>
      </w:pPr>
      <w:r>
        <w:rPr>
          <w:rFonts w:ascii="Calibri" w:hAnsi="Calibri" w:eastAsia="Calibri"/>
          <w:b/>
          <w:sz w:val="22"/>
        </w:rPr>
        <w:t>5. Ressources officielles</w:t>
      </w:r>
    </w:p>
    <w:p>
      <w:pPr>
        <w:spacing w:after="40" w:before="0"/>
        <w:jc w:val="both"/>
      </w:pPr>
      <w:r>
        <w:rPr>
          <w:rFonts w:ascii="Calibri" w:hAnsi="Calibri" w:eastAsia="Calibri"/>
          <w:sz w:val="22"/>
        </w:rPr>
        <w:t xml:space="preserve">– </w:t>
      </w:r>
      <w:r>
        <w:rPr>
          <w:rFonts w:ascii="Calibri" w:hAnsi="Calibri" w:eastAsia="Calibri"/>
          <w:sz w:val="22"/>
        </w:rPr>
        <w:t>service-public.fr — F18362 (OQTF)</w:t>
      </w:r>
    </w:p>
    <w:p>
      <w:pPr>
        <w:spacing w:after="40" w:before="0"/>
        <w:jc w:val="both"/>
      </w:pPr>
      <w:r>
        <w:rPr>
          <w:rFonts w:ascii="Calibri" w:hAnsi="Calibri" w:eastAsia="Calibri"/>
          <w:sz w:val="22"/>
        </w:rPr>
        <w:t xml:space="preserve">– </w:t>
      </w:r>
      <w:r>
        <w:rPr>
          <w:rFonts w:ascii="Calibri" w:hAnsi="Calibri" w:eastAsia="Calibri"/>
          <w:sz w:val="22"/>
        </w:rPr>
        <w:t>citoyens.telerecours.fr</w:t>
      </w:r>
    </w:p>
    <w:p>
      <w:pPr>
        <w:spacing w:after="40" w:before="0"/>
        <w:jc w:val="both"/>
      </w:pPr>
      <w:r>
        <w:rPr>
          <w:rFonts w:ascii="Calibri" w:hAnsi="Calibri" w:eastAsia="Calibri"/>
          <w:sz w:val="22"/>
        </w:rPr>
        <w:t xml:space="preserve">– </w:t>
      </w:r>
      <w:r>
        <w:rPr>
          <w:rFonts w:ascii="Calibri" w:hAnsi="Calibri" w:eastAsia="Calibri"/>
          <w:sz w:val="22"/>
        </w:rPr>
        <w:t>ANEF — si un dossier de séjour est encore ouvert</w:t>
      </w:r>
    </w:p>
    <w:p>
      <w:pPr>
        <w:spacing w:after="160" w:before="0"/>
        <w:jc w:val="both"/>
      </w:pPr>
      <w:r>
        <w:rPr>
          <w:rFonts w:ascii="Calibri" w:hAnsi="Calibri" w:eastAsia="Calibri"/>
          <w:sz w:val="22"/>
        </w:rPr>
        <w:t xml:space="preserve">– </w:t>
      </w:r>
      <w:r>
        <w:rPr>
          <w:rFonts w:ascii="Calibri" w:hAnsi="Calibri" w:eastAsia="Calibri"/>
          <w:sz w:val="22"/>
        </w:rPr>
        <w:t>Aide juridictionnelle — Cerfa 16146</w:t>
      </w:r>
    </w:p>
    <w:p>
      <w:r>
        <w:br w:type="page"/>
      </w:r>
    </w:p>
    <w:p>
      <w:pPr>
        <w:spacing w:after="80" w:before="0"/>
      </w:pPr>
      <w:r>
        <w:rPr>
          <w:rFonts w:ascii="Calibri" w:hAnsi="Calibri" w:eastAsia="Calibri"/>
          <w:b/>
          <w:sz w:val="26"/>
        </w:rPr>
        <w:t>Notes pratiques — à supprimer avant utilisation</w:t>
      </w:r>
    </w:p>
    <w:p>
      <w:pPr>
        <w:spacing w:after="120"/>
      </w:pPr>
    </w:p>
    <w:p>
      <w:pPr>
        <w:spacing w:after="100" w:before="0"/>
        <w:jc w:val="both"/>
      </w:pPr>
      <w:r>
        <w:rPr>
          <w:rFonts w:ascii="Calibri" w:hAnsi="Calibri" w:eastAsia="Calibri"/>
          <w:color w:val="374151"/>
          <w:sz w:val="20"/>
        </w:rPr>
        <w:t>• Avant usage client : revérifier F18362 le jour J ; ne jamais substituer ces repères aux délais indiqués sur la notification.</w:t>
      </w:r>
    </w:p>
    <w:p>
      <w:pPr>
        <w:spacing w:after="100" w:before="0"/>
        <w:jc w:val="both"/>
      </w:pPr>
      <w:r>
        <w:rPr>
          <w:rFonts w:ascii="Calibri" w:hAnsi="Calibri" w:eastAsia="Calibri"/>
          <w:color w:val="374151"/>
          <w:sz w:val="20"/>
        </w:rPr>
        <w:t>• Ne jamais indiquer un délai unique « pour toutes les OQTF » dans un courrier type.</w:t>
      </w:r>
    </w:p>
    <w:p>
      <w:pPr>
        <w:spacing w:after="100" w:before="0"/>
        <w:jc w:val="both"/>
      </w:pPr>
      <w:r>
        <w:rPr>
          <w:rFonts w:ascii="Calibri" w:hAnsi="Calibri" w:eastAsia="Calibri"/>
          <w:color w:val="374151"/>
          <w:sz w:val="20"/>
        </w:rPr>
        <w:t>• Orienter sans délai vers consultation si rétention, assignation, ou délai de 48 h / 7 jours.</w:t>
      </w:r>
    </w:p>
    <w:p>
      <w:pPr>
        <w:spacing w:after="100" w:before="0"/>
        <w:jc w:val="both"/>
      </w:pPr>
      <w:r>
        <w:rPr>
          <w:rFonts w:ascii="Calibri" w:hAnsi="Calibri" w:eastAsia="Calibri"/>
          <w:color w:val="374151"/>
          <w:sz w:val="20"/>
        </w:rPr>
        <w:t>• Supprimez l’en-tête « Modèle fourni à titre informatif… », les surlignages et la présente page avant d’envoyer le courrier. Conservez une copie du courrier, la preuve de dépôt et l’avis de réception.</w:t>
      </w:r>
    </w:p>
    <w:p>
      <w:pPr>
        <w:spacing w:after="100" w:before="0"/>
        <w:jc w:val="both"/>
      </w:pPr>
      <w:r>
        <w:rPr>
          <w:rFonts w:ascii="Calibri" w:hAnsi="Calibri" w:eastAsia="Calibri"/>
          <w:color w:val="374151"/>
          <w:sz w:val="20"/>
        </w:rPr>
        <w:t>• En cas de doute sur un délai ou sur la stratégie à adopter, faites relire votre courrier par un avocat.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rFonts w:ascii="Calibri" w:hAnsi="Calibri" w:eastAsia="Calibri"/>
        <w:color w:val="9AA5B1"/>
        <w:sz w:val="16"/>
      </w:rPr>
      <w:t>Modèle — Cabinet Gasimov, avocat à Strasbourg · www.avocat-gasimov.fr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/>
    <w:r>
      <w:rPr>
        <w:rFonts w:ascii="Calibri" w:hAnsi="Calibri" w:eastAsia="Calibri"/>
        <w:i/>
        <w:color w:val="6B7280"/>
        <w:sz w:val="17"/>
      </w:rPr>
      <w:t>Modèle fourni à titre informatif — à adapter à votre situation ; ne remplace pas un conseil personnalisé. Cabinet Gasimov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pratique — Que faire face à une OQTF</dc:title>
  <dc:subject/>
  <dc:creator>Cabinet Gasimov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