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FICHE PRATIQUE — VOS DROITS EN GARDE À VUE</w:t>
      </w:r>
    </w:p>
    <w:p>
      <w:pPr>
        <w:spacing w:after="280" w:before="0"/>
        <w:jc w:val="center"/>
      </w:pPr>
      <w:r>
        <w:rPr>
          <w:rFonts w:ascii="Calibri" w:hAnsi="Calibri" w:eastAsia="Calibri"/>
          <w:b/>
          <w:sz w:val="22"/>
        </w:rPr>
        <w:t>Cabinet Gasimov — Avocat à Strasbourg</w:t>
      </w:r>
    </w:p>
    <w:p>
      <w:pPr>
        <w:spacing w:after="240" w:before="0"/>
        <w:jc w:val="both"/>
      </w:pPr>
      <w:r>
        <w:rPr>
          <w:rFonts w:ascii="Calibri" w:hAnsi="Calibri" w:eastAsia="Calibri"/>
          <w:sz w:val="22"/>
        </w:rPr>
        <w:t>Repères informatifs sur les droits essentiels de la personne majeure placée en garde à vue (articles 63-1 et suivants du code de procédure pénale). Les mineurs relèvent de règles particulières, plus protectrices.</w:t>
      </w:r>
    </w:p>
    <w:p>
      <w:pPr>
        <w:spacing w:after="80" w:before="0"/>
      </w:pPr>
      <w:r>
        <w:rPr>
          <w:rFonts w:ascii="Calibri" w:hAnsi="Calibri" w:eastAsia="Calibri"/>
          <w:b/>
          <w:sz w:val="22"/>
        </w:rPr>
        <w:t>1. Être informé</w:t>
      </w:r>
    </w:p>
    <w:p>
      <w:pPr>
        <w:spacing w:after="80" w:before="0"/>
        <w:jc w:val="both"/>
      </w:pPr>
      <w:r>
        <w:rPr>
          <w:rFonts w:ascii="Calibri" w:hAnsi="Calibri" w:eastAsia="Calibri"/>
          <w:sz w:val="22"/>
        </w:rPr>
        <w:t>Dès le début de la mesure, vous devez être informé(e), dans une langue que vous comprenez, de votre placement en garde à vue, de sa durée, de l’infraction qui vous est reprochée (nature, date et lieu présumés) et de vos droits. Un document écrit énonçant ces droits doit vous être remis.</w:t>
      </w:r>
    </w:p>
    <w:p>
      <w:pPr>
        <w:spacing w:after="240" w:before="0"/>
        <w:jc w:val="both"/>
      </w:pPr>
      <w:r>
        <w:rPr>
          <w:rFonts w:ascii="Calibri" w:hAnsi="Calibri" w:eastAsia="Calibri"/>
          <w:sz w:val="22"/>
        </w:rPr>
        <w:t>Si vous ne parlez pas ou ne comprenez pas le français, vous avez droit à un interprète.</w:t>
      </w:r>
    </w:p>
    <w:p>
      <w:pPr>
        <w:spacing w:after="80" w:before="0"/>
      </w:pPr>
      <w:r>
        <w:rPr>
          <w:rFonts w:ascii="Calibri" w:hAnsi="Calibri" w:eastAsia="Calibri"/>
          <w:b/>
          <w:sz w:val="22"/>
        </w:rPr>
        <w:t>2. Durée</w:t>
      </w:r>
    </w:p>
    <w:p>
      <w:pPr>
        <w:spacing w:after="240" w:before="0"/>
        <w:jc w:val="both"/>
      </w:pPr>
      <w:r>
        <w:rPr>
          <w:rFonts w:ascii="Calibri" w:hAnsi="Calibri" w:eastAsia="Calibri"/>
          <w:sz w:val="22"/>
        </w:rPr>
        <w:t>La garde à vue dure au plus 24 heures. Elle peut être prolongée de 24 heures sur autorisation du procureur de la République, si l’infraction est punie d’au moins un an d’emprisonnement. Des durées plus longues sont prévues pour certaines infractions graves (criminalité organisée, terrorisme).</w:t>
      </w:r>
    </w:p>
    <w:p>
      <w:pPr>
        <w:spacing w:after="80" w:before="0"/>
      </w:pPr>
      <w:r>
        <w:rPr>
          <w:rFonts w:ascii="Calibri" w:hAnsi="Calibri" w:eastAsia="Calibri"/>
          <w:b/>
          <w:sz w:val="22"/>
        </w:rPr>
        <w:t>3. Faire prévenir un proche et l’employeur</w:t>
      </w:r>
    </w:p>
    <w:p>
      <w:pPr>
        <w:spacing w:after="240" w:before="0"/>
        <w:jc w:val="both"/>
      </w:pPr>
      <w:r>
        <w:rPr>
          <w:rFonts w:ascii="Calibri" w:hAnsi="Calibri" w:eastAsia="Calibri"/>
          <w:sz w:val="22"/>
        </w:rPr>
        <w:t>Vous pouvez faire prévenir par téléphone une personne avec qui vous vivez habituellement, un parent ou un proche, ainsi que votre employeur. Si vous êtes de nationalité étrangère, vous pouvez faire prévenir les autorités consulaires de votre pays. Ces avis peuvent être différés dans certains cas, sur décision d’un magistrat.</w:t>
      </w:r>
    </w:p>
    <w:p>
      <w:pPr>
        <w:spacing w:after="80" w:before="0"/>
      </w:pPr>
      <w:r>
        <w:rPr>
          <w:rFonts w:ascii="Calibri" w:hAnsi="Calibri" w:eastAsia="Calibri"/>
          <w:b/>
          <w:sz w:val="22"/>
        </w:rPr>
        <w:t>4. Être examiné(e) par un médecin</w:t>
      </w:r>
    </w:p>
    <w:p>
      <w:pPr>
        <w:spacing w:after="240" w:before="0"/>
        <w:jc w:val="both"/>
      </w:pPr>
      <w:r>
        <w:rPr>
          <w:rFonts w:ascii="Calibri" w:hAnsi="Calibri" w:eastAsia="Calibri"/>
          <w:sz w:val="22"/>
        </w:rPr>
        <w:t>Vous pouvez demander à être examiné(e) par un médecin. Un membre de votre famille peut aussi le demander. Signalez tout problème de santé et tout traitement en cours.</w:t>
      </w:r>
    </w:p>
    <w:p>
      <w:pPr>
        <w:spacing w:after="80" w:before="0"/>
      </w:pPr>
      <w:r>
        <w:rPr>
          <w:rFonts w:ascii="Calibri" w:hAnsi="Calibri" w:eastAsia="Calibri"/>
          <w:b/>
          <w:sz w:val="22"/>
        </w:rPr>
        <w:t>5. Être assisté(e) par un avocat</w:t>
      </w:r>
    </w:p>
    <w:p>
      <w:pPr>
        <w:spacing w:after="40" w:before="0"/>
        <w:jc w:val="both"/>
      </w:pPr>
      <w:r>
        <w:rPr>
          <w:rFonts w:ascii="Calibri" w:hAnsi="Calibri" w:eastAsia="Calibri"/>
          <w:sz w:val="22"/>
        </w:rPr>
        <w:t xml:space="preserve">– </w:t>
      </w:r>
      <w:r>
        <w:rPr>
          <w:rFonts w:ascii="Calibri" w:hAnsi="Calibri" w:eastAsia="Calibri"/>
          <w:sz w:val="22"/>
        </w:rPr>
        <w:t>Vous pouvez demander l’assistance d’un avocat dès le début de la garde à vue : l’avocat de votre choix ou, si vous n’en connaissez pas ou s’il n’est pas joignable, un avocat commis d’office désigné par le bâtonnier.</w:t>
      </w:r>
    </w:p>
    <w:p>
      <w:pPr>
        <w:spacing w:after="40" w:before="0"/>
        <w:jc w:val="both"/>
      </w:pPr>
      <w:r>
        <w:rPr>
          <w:rFonts w:ascii="Calibri" w:hAnsi="Calibri" w:eastAsia="Calibri"/>
          <w:sz w:val="22"/>
        </w:rPr>
        <w:t xml:space="preserve">– </w:t>
      </w:r>
      <w:r>
        <w:rPr>
          <w:rFonts w:ascii="Calibri" w:hAnsi="Calibri" w:eastAsia="Calibri"/>
          <w:sz w:val="22"/>
        </w:rPr>
        <w:t>Vous pouvez vous entretenir avec lui de manière confidentielle pendant 30 minutes, puis à nouveau en cas de prolongation.</w:t>
      </w:r>
    </w:p>
    <w:p>
      <w:pPr>
        <w:spacing w:after="40" w:before="0"/>
        <w:jc w:val="both"/>
      </w:pPr>
      <w:r>
        <w:rPr>
          <w:rFonts w:ascii="Calibri" w:hAnsi="Calibri" w:eastAsia="Calibri"/>
          <w:sz w:val="22"/>
        </w:rPr>
        <w:t xml:space="preserve">– </w:t>
      </w:r>
      <w:r>
        <w:rPr>
          <w:rFonts w:ascii="Calibri" w:hAnsi="Calibri" w:eastAsia="Calibri"/>
          <w:sz w:val="22"/>
        </w:rPr>
        <w:t>Il peut assister à vos auditions et confrontations, et consulter certaines pièces (procès-verbal de notification des droits, certificat médical, procès-verbaux de vos auditions).</w:t>
      </w:r>
    </w:p>
    <w:p>
      <w:pPr>
        <w:spacing w:after="240" w:before="0"/>
        <w:jc w:val="both"/>
      </w:pPr>
      <w:r>
        <w:rPr>
          <w:rFonts w:ascii="Calibri" w:hAnsi="Calibri" w:eastAsia="Calibri"/>
          <w:sz w:val="22"/>
        </w:rPr>
        <w:t xml:space="preserve">– </w:t>
      </w:r>
      <w:r>
        <w:rPr>
          <w:rFonts w:ascii="Calibri" w:hAnsi="Calibri" w:eastAsia="Calibri"/>
          <w:sz w:val="22"/>
        </w:rPr>
        <w:t>Les enquêteurs doivent en principe attendre l’arrivée de votre avocat pendant un délai limité avant de commencer l’audition, sauf exceptions prévues par la loi.</w:t>
      </w:r>
    </w:p>
    <w:p>
      <w:pPr>
        <w:spacing w:after="80" w:before="0"/>
      </w:pPr>
      <w:r>
        <w:rPr>
          <w:rFonts w:ascii="Calibri" w:hAnsi="Calibri" w:eastAsia="Calibri"/>
          <w:b/>
          <w:sz w:val="22"/>
        </w:rPr>
        <w:t>6. Le droit de se taire</w:t>
      </w:r>
    </w:p>
    <w:p>
      <w:pPr>
        <w:spacing w:after="240" w:before="0"/>
        <w:jc w:val="both"/>
      </w:pPr>
      <w:r>
        <w:rPr>
          <w:rFonts w:ascii="Calibri" w:hAnsi="Calibri" w:eastAsia="Calibri"/>
          <w:sz w:val="22"/>
        </w:rPr>
        <w:t>Lors des auditions, après avoir décliné votre identité, vous avez le droit de faire des déclarations, de répondre aux questions qui vous sont posées ou de vous taire.</w:t>
      </w:r>
    </w:p>
    <w:p>
      <w:pPr>
        <w:spacing w:after="80" w:before="0"/>
      </w:pPr>
      <w:r>
        <w:rPr>
          <w:rFonts w:ascii="Calibri" w:hAnsi="Calibri" w:eastAsia="Calibri"/>
          <w:b/>
          <w:sz w:val="22"/>
        </w:rPr>
        <w:t>7. Les procès-verbaux</w:t>
      </w:r>
    </w:p>
    <w:p>
      <w:pPr>
        <w:spacing w:after="240" w:before="0"/>
        <w:jc w:val="both"/>
      </w:pPr>
      <w:r>
        <w:rPr>
          <w:rFonts w:ascii="Calibri" w:hAnsi="Calibri" w:eastAsia="Calibri"/>
          <w:sz w:val="22"/>
        </w:rPr>
        <w:t>Relisez attentivement chaque procès-verbal avant de le signer. Vous pouvez demander la correction d’une erreur, faire consigner vos observations ou refuser de signer : ce refus est alors mentionné.</w:t>
      </w:r>
    </w:p>
    <w:p>
      <w:pPr>
        <w:spacing w:after="80" w:before="0"/>
      </w:pPr>
      <w:r>
        <w:rPr>
          <w:rFonts w:ascii="Calibri" w:hAnsi="Calibri" w:eastAsia="Calibri"/>
          <w:b/>
          <w:sz w:val="22"/>
        </w:rPr>
        <w:t>8. Présenter des observations</w:t>
      </w:r>
    </w:p>
    <w:p>
      <w:pPr>
        <w:spacing w:after="240" w:before="0"/>
        <w:jc w:val="both"/>
      </w:pPr>
      <w:r>
        <w:rPr>
          <w:rFonts w:ascii="Calibri" w:hAnsi="Calibri" w:eastAsia="Calibri"/>
          <w:sz w:val="22"/>
        </w:rPr>
        <w:t>Vous pouvez présenter des observations au magistrat qui se prononce sur la prolongation de la garde à vue, tendant à ce qu’il y soit mis fin.</w:t>
      </w:r>
    </w:p>
    <w:p>
      <w:pPr>
        <w:spacing w:after="80" w:before="0"/>
      </w:pPr>
      <w:r>
        <w:rPr>
          <w:rFonts w:ascii="Calibri" w:hAnsi="Calibri" w:eastAsia="Calibri"/>
          <w:b/>
          <w:sz w:val="22"/>
        </w:rPr>
        <w:t>Conseils pratiques</w:t>
      </w:r>
    </w:p>
    <w:p>
      <w:pPr>
        <w:spacing w:after="40" w:before="0"/>
        <w:jc w:val="both"/>
      </w:pPr>
      <w:r>
        <w:rPr>
          <w:rFonts w:ascii="Calibri" w:hAnsi="Calibri" w:eastAsia="Calibri"/>
          <w:sz w:val="22"/>
        </w:rPr>
        <w:t xml:space="preserve">– </w:t>
      </w:r>
      <w:r>
        <w:rPr>
          <w:rFonts w:ascii="Calibri" w:hAnsi="Calibri" w:eastAsia="Calibri"/>
          <w:sz w:val="22"/>
        </w:rPr>
        <w:t>Gardez sur vous, ou faites connaître à un proche, le nom et le numéro de téléphone de l’avocat que vous souhaitez faire appeler :</w:t>
      </w:r>
    </w:p>
    <w:p>
      <w:pPr>
        <w:spacing w:after="80" w:before="0"/>
      </w:pPr>
      <w:r>
        <w:rPr>
          <w:rFonts w:ascii="Calibri" w:hAnsi="Calibri" w:eastAsia="Calibri"/>
          <w:sz w:val="22"/>
        </w:rPr>
        <w:t xml:space="preserve">   Avocat choisi : </w:t>
      </w:r>
      <w:r>
        <w:rPr>
          <w:rFonts w:ascii="Calibri" w:hAnsi="Calibri" w:eastAsia="Calibri"/>
          <w:sz w:val="22"/>
          <w:highlight w:val="yellow"/>
        </w:rPr>
        <w:t>[Nom de l’avocat]</w:t>
      </w:r>
      <w:r>
        <w:rPr>
          <w:rFonts w:ascii="Calibri" w:hAnsi="Calibri" w:eastAsia="Calibri"/>
          <w:sz w:val="22"/>
        </w:rPr>
        <w:t xml:space="preserve"> — Tél. : </w:t>
      </w:r>
      <w:r>
        <w:rPr>
          <w:rFonts w:ascii="Calibri" w:hAnsi="Calibri" w:eastAsia="Calibri"/>
          <w:sz w:val="22"/>
          <w:highlight w:val="yellow"/>
        </w:rPr>
        <w:t>[téléphone]</w:t>
      </w:r>
    </w:p>
    <w:p>
      <w:pPr>
        <w:spacing w:after="40" w:before="0"/>
        <w:jc w:val="both"/>
      </w:pPr>
      <w:r>
        <w:rPr>
          <w:rFonts w:ascii="Calibri" w:hAnsi="Calibri" w:eastAsia="Calibri"/>
          <w:sz w:val="22"/>
        </w:rPr>
        <w:t xml:space="preserve">– </w:t>
      </w:r>
      <w:r>
        <w:rPr>
          <w:rFonts w:ascii="Calibri" w:hAnsi="Calibri" w:eastAsia="Calibri"/>
          <w:sz w:val="22"/>
        </w:rPr>
        <w:t>Restez calme et poli(e) ; ne vous opposez pas physiquement aux policiers ou aux gendarmes, même si vous contestez la mesure.</w:t>
      </w:r>
    </w:p>
    <w:p>
      <w:pPr>
        <w:spacing w:after="40" w:before="0"/>
        <w:jc w:val="both"/>
      </w:pPr>
      <w:r>
        <w:rPr>
          <w:rFonts w:ascii="Calibri" w:hAnsi="Calibri" w:eastAsia="Calibri"/>
          <w:sz w:val="22"/>
        </w:rPr>
        <w:t xml:space="preserve">– </w:t>
      </w:r>
      <w:r>
        <w:rPr>
          <w:rFonts w:ascii="Calibri" w:hAnsi="Calibri" w:eastAsia="Calibri"/>
          <w:sz w:val="22"/>
        </w:rPr>
        <w:t>N’évoquez pas les faits avec les autres personnes retenues ni au téléphone.</w:t>
      </w:r>
    </w:p>
    <w:p>
      <w:pPr>
        <w:spacing w:after="240" w:before="0"/>
        <w:jc w:val="both"/>
      </w:pPr>
      <w:r>
        <w:rPr>
          <w:rFonts w:ascii="Calibri" w:hAnsi="Calibri" w:eastAsia="Calibri"/>
          <w:sz w:val="22"/>
        </w:rPr>
        <w:t xml:space="preserve">– </w:t>
      </w:r>
      <w:r>
        <w:rPr>
          <w:rFonts w:ascii="Calibri" w:hAnsi="Calibri" w:eastAsia="Calibri"/>
          <w:sz w:val="22"/>
        </w:rPr>
        <w:t>À la fin de la mesure, notez la suite donnée (libération, convocation, présentation à un magistrat) et contactez rapidement votre avocat.</w:t>
      </w:r>
    </w:p>
    <w:p>
      <w:pPr>
        <w:spacing w:after="80" w:before="0"/>
      </w:pPr>
      <w:r>
        <w:rPr>
          <w:rFonts w:ascii="Calibri" w:hAnsi="Calibri" w:eastAsia="Calibri"/>
          <w:b/>
          <w:sz w:val="22"/>
        </w:rPr>
        <w:t>Avertissement</w:t>
      </w:r>
    </w:p>
    <w:p>
      <w:pPr>
        <w:spacing w:after="160" w:before="0"/>
        <w:jc w:val="both"/>
      </w:pPr>
      <w:r>
        <w:rPr>
          <w:rFonts w:ascii="Calibri" w:hAnsi="Calibri" w:eastAsia="Calibri"/>
          <w:sz w:val="22"/>
        </w:rPr>
        <w:t>Cette fiche ne décrit que les droits essentiels, dans leur régime général. Les règles diffèrent pour les mineurs, pour certaines infractions et pour l’audition libre (personne entendue sans contrainte, qui peut quitter les locaux à tout moment).</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L’audition libre n’est pas une garde à vue : la personne entendue librement peut quitter les locaux à tout moment et dispose, notamment, du droit d’être assistée par un avocat lorsque l’infraction est punie d’une peine d’emprisonnement.</w:t>
      </w:r>
    </w:p>
    <w:p>
      <w:pPr>
        <w:spacing w:after="100" w:before="0"/>
        <w:jc w:val="both"/>
      </w:pPr>
      <w:r>
        <w:rPr>
          <w:rFonts w:ascii="Calibri" w:hAnsi="Calibri" w:eastAsia="Calibri"/>
          <w:color w:val="374151"/>
          <w:sz w:val="20"/>
        </w:rPr>
        <w:t>• Les droits décrits ici sont ceux du régime général de la garde à vue des majeurs. Les régimes dérogatoires (criminalité organisée, terrorisme) et la retenue des mineurs obéissent à des règles spécifiques.</w:t>
      </w:r>
    </w:p>
    <w:p>
      <w:pPr>
        <w:spacing w:after="100" w:before="0"/>
        <w:jc w:val="both"/>
      </w:pPr>
      <w:r>
        <w:rPr>
          <w:rFonts w:ascii="Calibri" w:hAnsi="Calibri" w:eastAsia="Calibri"/>
          <w:color w:val="374151"/>
          <w:sz w:val="20"/>
        </w:rPr>
        <w:t>• Une irrégularité dans la notification des droits ou dans leur mise en œuvre peut, selon les cas, entraîner la nullité de certains actes : seul un avocat peut l’apprécier au vu du dossier.</w:t>
      </w:r>
    </w:p>
    <w:p>
      <w:pPr>
        <w:spacing w:after="100" w:before="0"/>
        <w:jc w:val="both"/>
      </w:pPr>
      <w:r>
        <w:rPr>
          <w:rFonts w:ascii="Calibri" w:hAnsi="Calibri" w:eastAsia="Calibri"/>
          <w:color w:val="374151"/>
          <w:sz w:val="20"/>
        </w:rPr>
        <w:t>• Cette fiche ne constitue pas un conseil personnalisé et peut devenir incomplète en cas d’évolution des textes.</w:t>
      </w:r>
    </w:p>
    <w:p>
      <w:pPr>
        <w:spacing w:after="100" w:before="0"/>
        <w:jc w:val="both"/>
      </w:pPr>
      <w:r>
        <w:rPr>
          <w:rFonts w:ascii="Calibri" w:hAnsi="Calibri" w:eastAsia="Calibri"/>
          <w:color w:val="374151"/>
          <w:sz w:val="20"/>
        </w:rPr>
        <w:t>• Supprimez l’en-tête informatif et la présente page si vous conservez uniquement le corps de la fiche.</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pratique — vos droits en garde à vue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