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[Forme de la société : SAS / SASU / SARL / EURL / SNC]</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DÉCISION DE REPRISE D’ACTIVITÉ</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Fin de la mise en sommeil</w:t>
      </w:r>
    </w:p>
    <w:p>
      <w:pPr>
        <w:spacing w:after="160" w:before="0"/>
        <w:jc w:val="both"/>
      </w:pPr>
      <w:r>
        <w:rPr>
          <w:rFonts w:ascii="Calibri" w:hAnsi="Calibri" w:eastAsia="Calibri"/>
          <w:b/>
          <w:sz w:val="22"/>
          <w:highlight w:val="yellow"/>
        </w:rPr>
        <w:t>[Option A — décision du représentant légal]</w:t>
      </w:r>
      <w:r>
        <w:rPr>
          <w:rFonts w:ascii="Calibri" w:hAnsi="Calibri" w:eastAsia="Calibri"/>
          <w:sz w:val="22"/>
        </w:rPr>
        <w:t xml:space="preserve"> Le soussigné, </w:t>
      </w:r>
      <w:r>
        <w:rPr>
          <w:rFonts w:ascii="Calibri" w:hAnsi="Calibri" w:eastAsia="Calibri"/>
          <w:sz w:val="22"/>
          <w:highlight w:val="yellow"/>
        </w:rPr>
        <w:t>[Prénom NOM]</w:t>
      </w:r>
      <w:r>
        <w:rPr>
          <w:rFonts w:ascii="Calibri" w:hAnsi="Calibri" w:eastAsia="Calibri"/>
          <w:sz w:val="22"/>
        </w:rPr>
        <w:t xml:space="preserve">, agissant en qualité de </w:t>
      </w:r>
      <w:r>
        <w:rPr>
          <w:rFonts w:ascii="Calibri" w:hAnsi="Calibri" w:eastAsia="Calibri"/>
          <w:sz w:val="22"/>
          <w:highlight w:val="yellow"/>
        </w:rPr>
        <w:t>[gérant / Président]</w:t>
      </w:r>
      <w:r>
        <w:rPr>
          <w:rFonts w:ascii="Calibri" w:hAnsi="Calibri" w:eastAsia="Calibri"/>
          <w:sz w:val="22"/>
        </w:rPr>
        <w:t xml:space="preserve"> de la société,</w:t>
      </w:r>
    </w:p>
    <w:p>
      <w:pPr>
        <w:spacing w:after="160" w:before="0"/>
        <w:jc w:val="both"/>
      </w:pPr>
      <w:r>
        <w:rPr>
          <w:rFonts w:ascii="Calibri" w:hAnsi="Calibri" w:eastAsia="Calibri"/>
          <w:b/>
          <w:sz w:val="22"/>
          <w:highlight w:val="yellow"/>
        </w:rPr>
        <w:t>[Option B — décision des associés]</w:t>
      </w:r>
      <w:r>
        <w:rPr>
          <w:rFonts w:ascii="Calibri" w:hAnsi="Calibri" w:eastAsia="Calibri"/>
          <w:sz w:val="22"/>
        </w:rPr>
        <w:t xml:space="preserve"> Les associés de la société </w:t>
      </w:r>
      <w:r>
        <w:rPr>
          <w:rFonts w:ascii="Calibri" w:hAnsi="Calibri" w:eastAsia="Calibri"/>
          <w:sz w:val="22"/>
          <w:highlight w:val="yellow"/>
        </w:rPr>
        <w:t>[réunis le … / l’associé unique]</w:t>
      </w:r>
      <w:r>
        <w:rPr>
          <w:rFonts w:ascii="Calibri" w:hAnsi="Calibri" w:eastAsia="Calibri"/>
          <w:sz w:val="22"/>
        </w:rPr>
        <w:t>,</w:t>
      </w:r>
    </w:p>
    <w:p>
      <w:pPr>
        <w:spacing w:after="240" w:before="0"/>
        <w:jc w:val="both"/>
      </w:pPr>
      <w:r>
        <w:rPr>
          <w:rFonts w:ascii="Calibri" w:hAnsi="Calibri" w:eastAsia="Calibri"/>
          <w:sz w:val="22"/>
        </w:rPr>
        <w:t xml:space="preserve">rappelant que la société a cessé temporairement et totalement son activité à compter du </w:t>
      </w:r>
      <w:r>
        <w:rPr>
          <w:rFonts w:ascii="Calibri" w:hAnsi="Calibri" w:eastAsia="Calibri"/>
          <w:sz w:val="22"/>
          <w:highlight w:val="yellow"/>
        </w:rPr>
        <w:t>[date]</w:t>
      </w:r>
      <w:r>
        <w:rPr>
          <w:rFonts w:ascii="Calibri" w:hAnsi="Calibri" w:eastAsia="Calibri"/>
          <w:sz w:val="22"/>
        </w:rPr>
        <w:t xml:space="preserve">, cessation inscrite au registre le </w:t>
      </w:r>
      <w:r>
        <w:rPr>
          <w:rFonts w:ascii="Calibri" w:hAnsi="Calibri" w:eastAsia="Calibri"/>
          <w:sz w:val="22"/>
          <w:highlight w:val="yellow"/>
        </w:rPr>
        <w:t>[date de l’inscription — voir l’extrait d’immatriculation]</w:t>
      </w:r>
      <w:r>
        <w:rPr>
          <w:rFonts w:ascii="Calibri" w:hAnsi="Calibri" w:eastAsia="Calibri"/>
          <w:sz w:val="22"/>
        </w:rPr>
        <w:t xml:space="preserve">, </w:t>
      </w:r>
      <w:r>
        <w:rPr>
          <w:rFonts w:ascii="Calibri" w:hAnsi="Calibri" w:eastAsia="Calibri"/>
          <w:sz w:val="22"/>
          <w:highlight w:val="yellow"/>
        </w:rPr>
        <w:t>[a / ont]</w:t>
      </w:r>
      <w:r>
        <w:rPr>
          <w:rFonts w:ascii="Calibri" w:hAnsi="Calibri" w:eastAsia="Calibri"/>
          <w:sz w:val="22"/>
        </w:rPr>
        <w:t xml:space="preserve"> pris les décisions suivantes :</w:t>
      </w:r>
    </w:p>
    <w:p>
      <w:pPr>
        <w:spacing w:after="120" w:before="0"/>
      </w:pPr>
      <w:r>
        <w:rPr>
          <w:rFonts w:ascii="Calibri" w:hAnsi="Calibri" w:eastAsia="Calibri"/>
          <w:b/>
          <w:sz w:val="22"/>
        </w:rPr>
        <w:t>PREMIÈRE DÉCISION — Reprise de l’activité</w:t>
      </w:r>
    </w:p>
    <w:p>
      <w:pPr>
        <w:spacing w:after="160" w:before="0"/>
        <w:jc w:val="both"/>
      </w:pPr>
      <w:r>
        <w:rPr>
          <w:rFonts w:ascii="Calibri" w:hAnsi="Calibri" w:eastAsia="Calibri"/>
          <w:sz w:val="22"/>
        </w:rPr>
        <w:t xml:space="preserve">La société reprend son activité à compter du </w:t>
      </w:r>
      <w:r>
        <w:rPr>
          <w:rFonts w:ascii="Calibri" w:hAnsi="Calibri" w:eastAsia="Calibri"/>
          <w:sz w:val="22"/>
          <w:highlight w:val="yellow"/>
        </w:rPr>
        <w:t>[date]</w:t>
      </w:r>
      <w:r>
        <w:rPr>
          <w:rFonts w:ascii="Calibri" w:hAnsi="Calibri" w:eastAsia="Calibri"/>
          <w:sz w:val="22"/>
        </w:rPr>
        <w:t xml:space="preserve">, à l’adresse suivante : </w:t>
      </w:r>
      <w:r>
        <w:rPr>
          <w:rFonts w:ascii="Calibri" w:hAnsi="Calibri" w:eastAsia="Calibri"/>
          <w:sz w:val="22"/>
          <w:highlight w:val="yellow"/>
        </w:rPr>
        <w:t>[siège social / établissement]</w:t>
      </w:r>
      <w:r>
        <w:rPr>
          <w:rFonts w:ascii="Calibri" w:hAnsi="Calibri" w:eastAsia="Calibri"/>
          <w:sz w:val="22"/>
        </w:rPr>
        <w:t>.</w:t>
      </w:r>
    </w:p>
    <w:p>
      <w:pPr>
        <w:spacing w:after="160" w:before="0"/>
        <w:jc w:val="both"/>
      </w:pPr>
      <w:r>
        <w:rPr>
          <w:rFonts w:ascii="Calibri" w:hAnsi="Calibri" w:eastAsia="Calibri"/>
          <w:sz w:val="22"/>
        </w:rPr>
        <w:t xml:space="preserve">L’activité reprise est </w:t>
      </w:r>
      <w:r>
        <w:rPr>
          <w:rFonts w:ascii="Calibri" w:hAnsi="Calibri" w:eastAsia="Calibri"/>
          <w:sz w:val="22"/>
          <w:highlight w:val="yellow"/>
        </w:rPr>
        <w:t>[identique à l’activité antérieure, conforme à l’objet social / la suivante : …]</w:t>
      </w:r>
      <w:r>
        <w:rPr>
          <w:rFonts w:ascii="Calibri" w:hAnsi="Calibri" w:eastAsia="Calibri"/>
          <w:sz w:val="22"/>
        </w:rPr>
        <w:t>.</w:t>
      </w:r>
    </w:p>
    <w:p>
      <w:pPr>
        <w:spacing w:after="24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120" w:before="0"/>
      </w:pPr>
      <w:r>
        <w:rPr>
          <w:rFonts w:ascii="Calibri" w:hAnsi="Calibri" w:eastAsia="Calibri"/>
          <w:b/>
          <w:sz w:val="22"/>
        </w:rPr>
        <w:t>DEUXIÈME DÉCISION — Mesures d’accompagnement</w:t>
      </w:r>
    </w:p>
    <w:p>
      <w:pPr>
        <w:spacing w:after="80" w:before="0"/>
        <w:jc w:val="both"/>
      </w:pPr>
      <w:r>
        <w:rPr>
          <w:rFonts w:ascii="Calibri" w:hAnsi="Calibri" w:eastAsia="Calibri"/>
          <w:sz w:val="22"/>
        </w:rPr>
        <w:t xml:space="preserve">☐ </w:t>
      </w:r>
      <w:r>
        <w:rPr>
          <w:rFonts w:ascii="Calibri" w:hAnsi="Calibri" w:eastAsia="Calibri"/>
          <w:sz w:val="22"/>
          <w:highlight w:val="yellow"/>
        </w:rPr>
        <w:t>[Réouverture ou ouverture d’un établissement : adresse …]</w:t>
      </w:r>
    </w:p>
    <w:p>
      <w:pPr>
        <w:spacing w:after="80" w:before="0"/>
        <w:jc w:val="both"/>
      </w:pPr>
      <w:r>
        <w:rPr>
          <w:rFonts w:ascii="Calibri" w:hAnsi="Calibri" w:eastAsia="Calibri"/>
          <w:sz w:val="22"/>
        </w:rPr>
        <w:t xml:space="preserve">☐ </w:t>
      </w:r>
      <w:r>
        <w:rPr>
          <w:rFonts w:ascii="Calibri" w:hAnsi="Calibri" w:eastAsia="Calibri"/>
          <w:sz w:val="22"/>
          <w:highlight w:val="yellow"/>
        </w:rPr>
        <w:t>[Reprise des contrats : bail, assurances, abonnements, compte bancaire…]</w:t>
      </w:r>
    </w:p>
    <w:p>
      <w:pPr>
        <w:spacing w:after="80" w:before="0"/>
        <w:jc w:val="both"/>
      </w:pPr>
      <w:r>
        <w:rPr>
          <w:rFonts w:ascii="Calibri" w:hAnsi="Calibri" w:eastAsia="Calibri"/>
          <w:sz w:val="22"/>
        </w:rPr>
        <w:t xml:space="preserve">☐ </w:t>
      </w:r>
      <w:r>
        <w:rPr>
          <w:rFonts w:ascii="Calibri" w:hAnsi="Calibri" w:eastAsia="Calibri"/>
          <w:sz w:val="22"/>
          <w:highlight w:val="yellow"/>
        </w:rPr>
        <w:t>[Embauche de salariés : déclarations préalables à l’embauche et affiliation à prévoir]</w:t>
      </w:r>
    </w:p>
    <w:p>
      <w:pPr>
        <w:spacing w:after="200" w:before="0"/>
        <w:jc w:val="both"/>
      </w:pPr>
      <w:r>
        <w:rPr>
          <w:rFonts w:ascii="Calibri" w:hAnsi="Calibri" w:eastAsia="Calibri"/>
          <w:sz w:val="22"/>
        </w:rPr>
        <w:t xml:space="preserve">☐ </w:t>
      </w:r>
      <w:r>
        <w:rPr>
          <w:rFonts w:ascii="Calibri" w:hAnsi="Calibri" w:eastAsia="Calibri"/>
          <w:sz w:val="22"/>
          <w:highlight w:val="yellow"/>
        </w:rPr>
        <w:t>[Si l’activité nouvelle sort de l’objet social : modification des statuts par décision distincte (décision extraordinaire), suivie d’une annonce légale]</w:t>
      </w:r>
    </w:p>
    <w:p>
      <w:pPr>
        <w:spacing w:after="24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120" w:before="0"/>
      </w:pPr>
      <w:r>
        <w:rPr>
          <w:rFonts w:ascii="Calibri" w:hAnsi="Calibri" w:eastAsia="Calibri"/>
          <w:b/>
          <w:sz w:val="22"/>
        </w:rPr>
        <w:t>TROISIÈME DÉCISION — Formalités</w:t>
      </w:r>
    </w:p>
    <w:p>
      <w:pPr>
        <w:spacing w:after="160" w:before="0"/>
        <w:jc w:val="both"/>
      </w:pPr>
      <w:r>
        <w:rPr>
          <w:rFonts w:ascii="Calibri" w:hAnsi="Calibri" w:eastAsia="Calibri"/>
          <w:sz w:val="22"/>
        </w:rPr>
        <w:t xml:space="preserve">Tous pouvoirs sont donnés au </w:t>
      </w:r>
      <w:r>
        <w:rPr>
          <w:rFonts w:ascii="Calibri" w:hAnsi="Calibri" w:eastAsia="Calibri"/>
          <w:sz w:val="22"/>
          <w:highlight w:val="yellow"/>
        </w:rPr>
        <w:t>[gérant / Président]</w:t>
      </w:r>
      <w:r>
        <w:rPr>
          <w:rFonts w:ascii="Calibri" w:hAnsi="Calibri" w:eastAsia="Calibri"/>
          <w:sz w:val="22"/>
        </w:rPr>
        <w:t xml:space="preserve"> pour déclarer la reprise d’activité sur le guichet unique des formalités d’entreprises, par une inscription modificative, au plus tard dans le mois de la reprise effective de l’activité (C. com., art. R. 123-66), et pour informer de la reprise l’administration fiscale, les organismes sociaux et les partenaires de la société.</w:t>
      </w:r>
    </w:p>
    <w:p>
      <w:pPr>
        <w:spacing w:after="28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32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[Le présent acte est consigné au registre des décisions / des procès-verbaux.]</w:t>
      </w:r>
    </w:p>
    <w:p>
      <w:pPr>
        <w:spacing w:after="40" w:before="0"/>
      </w:pPr>
      <w:r>
        <w:rPr>
          <w:rFonts w:ascii="Calibri" w:hAnsi="Calibri" w:eastAsia="Calibri"/>
          <w:b/>
          <w:sz w:val="22"/>
        </w:rPr>
        <w:t>Le représentant légal</w:t>
      </w:r>
    </w:p>
    <w:p>
      <w:pPr>
        <w:spacing w:after="280" w:before="0"/>
      </w:pPr>
      <w:r>
        <w:rPr>
          <w:rFonts w:ascii="Calibri" w:hAnsi="Calibri" w:eastAsia="Calibri"/>
          <w:sz w:val="22"/>
          <w:highlight w:val="yellow"/>
        </w:rPr>
        <w:t>[Prénom NOM — qualité — signature]</w:t>
      </w:r>
    </w:p>
    <w:p>
      <w:pPr>
        <w:spacing w:after="40" w:before="0"/>
      </w:pPr>
      <w:r>
        <w:rPr>
          <w:rFonts w:ascii="Calibri" w:hAnsi="Calibri" w:eastAsia="Calibri"/>
          <w:b/>
          <w:sz w:val="22"/>
          <w:highlight w:val="yellow"/>
        </w:rPr>
        <w:t>[Le cas échéant : les associés / l’associé unique]</w:t>
      </w:r>
    </w:p>
    <w:p>
      <w:pPr>
        <w:spacing w:after="280" w:before="0"/>
      </w:pPr>
      <w:r>
        <w:rPr>
          <w:rFonts w:ascii="Calibri" w:hAnsi="Calibri" w:eastAsia="Calibri"/>
          <w:sz w:val="22"/>
          <w:highlight w:val="yellow"/>
        </w:rPr>
        <w:t>[Prénoms NOMS — signatures]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Délai : la reprise doit être déclarée au guichet unique par une inscription modificative (service-public, F37362), dans le mois (C. com., art. R. 123-66). Faites-le avant l’expiration du délai de deux ans suivant la mention de la cessation : à défaut d’inscription de reprise, le greffier peut radier d’office la société (C. com., art. R. 123-130).</w:t>
      </w:r>
    </w:p>
    <w:p>
      <w:pPr>
        <w:spacing w:after="100" w:before="0"/>
        <w:jc w:val="both"/>
      </w:pPr>
      <w:r>
        <w:rPr>
          <w:rFonts w:ascii="Calibri" w:hAnsi="Calibri" w:eastAsia="Calibri"/>
          <w:color w:val="374151"/>
          <w:sz w:val="20"/>
        </w:rPr>
        <w:t>• Si la société a déjà été radiée d’office, elle peut, en démontrant qu’elle a régularisé sa situation, demander au greffier de rapporter cette radiation ; dans les quinze jours de la demande, le greffier procède au rapport ou remet une décision motivée de refus, que le demandeur peut porter devant le juge commis à la surveillance du registre dans les quinze jours de sa notification (C. com., art. R. 123-138 ; service-public, F37362). Agissez vite et faites-vous aider.</w:t>
      </w:r>
    </w:p>
    <w:p>
      <w:pPr>
        <w:spacing w:after="100" w:before="0"/>
        <w:jc w:val="both"/>
      </w:pPr>
      <w:r>
        <w:rPr>
          <w:rFonts w:ascii="Calibri" w:hAnsi="Calibri" w:eastAsia="Calibri"/>
          <w:color w:val="374151"/>
          <w:sz w:val="20"/>
        </w:rPr>
        <w:t>• Comptes abrégés : la faculté réservée aux micro-entreprises en sommeil cesse à la reprise de l’activité (C. com., art. L. 123-28-2).</w:t>
      </w:r>
    </w:p>
    <w:p>
      <w:pPr>
        <w:spacing w:after="100" w:before="0"/>
        <w:jc w:val="both"/>
      </w:pPr>
      <w:r>
        <w:rPr>
          <w:rFonts w:ascii="Calibri" w:hAnsi="Calibri" w:eastAsia="Calibri"/>
          <w:color w:val="374151"/>
          <w:sz w:val="20"/>
        </w:rPr>
        <w:t>• Si la reprise s’accompagne d’un changement d’activité hors de l’objet social, d’un transfert de siège ou d’un changement de dirigeant, ces opérations exigent leurs propres décisions et formalités (dont, en principe, une annonce légale) : ne les mêlez pas à la simple déclaration de reprise.</w:t>
      </w:r>
    </w:p>
    <w:p>
      <w:pPr>
        <w:spacing w:after="100" w:before="0"/>
        <w:jc w:val="both"/>
      </w:pPr>
      <w:r>
        <w:rPr>
          <w:rFonts w:ascii="Calibri" w:hAnsi="Calibri" w:eastAsia="Calibri"/>
          <w:color w:val="374151"/>
          <w:sz w:val="20"/>
        </w:rPr>
        <w:t>• Prévenez l’administration fiscale (régime de TVA, cotisation foncière des entreprises) et, pour le dirigeant, l’organisme de sécurité sociale compétent ; reprenez les assurances professionnelles avant la première opération.</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Décision de reprise d’activité après mise en sommeil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