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highlight w:val="yellow"/>
        </w:rPr>
        <w:t>[Forme de la société : SAS / SASU / SARL / EURL / SNC]</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w:t>
      </w:r>
    </w:p>
    <w:p>
      <w:pPr>
        <w:spacing w:after="280" w:before="0"/>
        <w:jc w:val="center"/>
      </w:pP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p>
    <w:p>
      <w:pPr>
        <w:spacing w:after="40" w:before="0"/>
        <w:jc w:val="center"/>
      </w:pPr>
      <w:r>
        <w:rPr>
          <w:rFonts w:ascii="Calibri" w:hAnsi="Calibri" w:eastAsia="Calibri"/>
          <w:b/>
          <w:sz w:val="24"/>
        </w:rPr>
        <w:t>DÉCISION DE MISE EN SOMMEIL DE LA SOCIÉTÉ</w:t>
      </w:r>
    </w:p>
    <w:p>
      <w:pPr>
        <w:spacing w:after="40" w:before="0"/>
        <w:jc w:val="center"/>
      </w:pPr>
      <w:r>
        <w:rPr>
          <w:rFonts w:ascii="Calibri" w:hAnsi="Calibri" w:eastAsia="Calibri"/>
          <w:b/>
          <w:sz w:val="22"/>
        </w:rPr>
        <w:t xml:space="preserve">du </w:t>
      </w:r>
      <w:r>
        <w:rPr>
          <w:rFonts w:ascii="Calibri" w:hAnsi="Calibri" w:eastAsia="Calibri"/>
          <w:b/>
          <w:sz w:val="22"/>
          <w:highlight w:val="yellow"/>
        </w:rPr>
        <w:t>[date]</w:t>
      </w:r>
    </w:p>
    <w:p>
      <w:pPr>
        <w:spacing w:after="320" w:before="0"/>
        <w:jc w:val="center"/>
      </w:pPr>
      <w:r>
        <w:rPr>
          <w:rFonts w:ascii="Calibri" w:hAnsi="Calibri" w:eastAsia="Calibri"/>
          <w:b/>
          <w:sz w:val="22"/>
        </w:rPr>
        <w:t>Cessation temporaire totale d’activité</w:t>
      </w:r>
    </w:p>
    <w:p>
      <w:pPr>
        <w:spacing w:after="160" w:before="0"/>
        <w:jc w:val="both"/>
      </w:pPr>
      <w:r>
        <w:rPr>
          <w:rFonts w:ascii="Calibri" w:hAnsi="Calibri" w:eastAsia="Calibri"/>
          <w:b/>
          <w:sz w:val="22"/>
          <w:highlight w:val="yellow"/>
        </w:rPr>
        <w:t>[Option A — décision du représentant légal]</w:t>
      </w:r>
      <w:r>
        <w:rPr>
          <w:rFonts w:ascii="Calibri" w:hAnsi="Calibri" w:eastAsia="Calibri"/>
          <w:sz w:val="22"/>
        </w:rPr>
        <w:t xml:space="preserve"> Le soussigné, </w:t>
      </w:r>
      <w:r>
        <w:rPr>
          <w:rFonts w:ascii="Calibri" w:hAnsi="Calibri" w:eastAsia="Calibri"/>
          <w:sz w:val="22"/>
          <w:highlight w:val="yellow"/>
        </w:rPr>
        <w:t>[Prénom NOM]</w:t>
      </w:r>
      <w:r>
        <w:rPr>
          <w:rFonts w:ascii="Calibri" w:hAnsi="Calibri" w:eastAsia="Calibri"/>
          <w:sz w:val="22"/>
        </w:rPr>
        <w:t xml:space="preserve">, agissant en qualité de </w:t>
      </w:r>
      <w:r>
        <w:rPr>
          <w:rFonts w:ascii="Calibri" w:hAnsi="Calibri" w:eastAsia="Calibri"/>
          <w:sz w:val="22"/>
          <w:highlight w:val="yellow"/>
        </w:rPr>
        <w:t>[gérant / Président]</w:t>
      </w:r>
      <w:r>
        <w:rPr>
          <w:rFonts w:ascii="Calibri" w:hAnsi="Calibri" w:eastAsia="Calibri"/>
          <w:sz w:val="22"/>
        </w:rPr>
        <w:t xml:space="preserve"> de la société,</w:t>
      </w:r>
    </w:p>
    <w:p>
      <w:pPr>
        <w:spacing w:after="160" w:before="0"/>
        <w:jc w:val="both"/>
      </w:pPr>
      <w:r>
        <w:rPr>
          <w:rFonts w:ascii="Calibri" w:hAnsi="Calibri" w:eastAsia="Calibri"/>
          <w:b/>
          <w:sz w:val="22"/>
          <w:highlight w:val="yellow"/>
        </w:rPr>
        <w:t>[Option B — décision des associés, si les statuts l’exigent ou si vous souhaitez y associer les associés]</w:t>
      </w:r>
      <w:r>
        <w:rPr>
          <w:rFonts w:ascii="Calibri" w:hAnsi="Calibri" w:eastAsia="Calibri"/>
          <w:sz w:val="22"/>
        </w:rPr>
        <w:t xml:space="preserve"> Les associés de la société, </w:t>
      </w:r>
      <w:r>
        <w:rPr>
          <w:rFonts w:ascii="Calibri" w:hAnsi="Calibri" w:eastAsia="Calibri"/>
          <w:sz w:val="22"/>
          <w:highlight w:val="yellow"/>
        </w:rPr>
        <w:t>[réunis en assemblée le … au siège social / l’associé unique]</w:t>
      </w:r>
      <w:r>
        <w:rPr>
          <w:rFonts w:ascii="Calibri" w:hAnsi="Calibri" w:eastAsia="Calibri"/>
          <w:sz w:val="22"/>
        </w:rPr>
        <w:t xml:space="preserve">, </w:t>
      </w:r>
      <w:r>
        <w:rPr>
          <w:rFonts w:ascii="Calibri" w:hAnsi="Calibri" w:eastAsia="Calibri"/>
          <w:sz w:val="22"/>
          <w:highlight w:val="yellow"/>
        </w:rPr>
        <w:t>[représentant … parts / actions sur …]</w:t>
      </w:r>
      <w:r>
        <w:rPr>
          <w:rFonts w:ascii="Calibri" w:hAnsi="Calibri" w:eastAsia="Calibri"/>
          <w:sz w:val="22"/>
        </w:rPr>
        <w:t>,</w:t>
      </w:r>
    </w:p>
    <w:p>
      <w:pPr>
        <w:spacing w:after="240" w:before="0"/>
        <w:jc w:val="both"/>
      </w:pPr>
      <w:r>
        <w:rPr>
          <w:rFonts w:ascii="Calibri" w:hAnsi="Calibri" w:eastAsia="Calibri"/>
          <w:sz w:val="22"/>
        </w:rPr>
        <w:t xml:space="preserve">exposant que </w:t>
      </w:r>
      <w:r>
        <w:rPr>
          <w:rFonts w:ascii="Calibri" w:hAnsi="Calibri" w:eastAsia="Calibri"/>
          <w:sz w:val="22"/>
          <w:highlight w:val="yellow"/>
        </w:rPr>
        <w:t>[motif : difficultés économiques momentanées, maladie du dirigeant, sinistre, projet en attente…]</w:t>
      </w:r>
      <w:r>
        <w:rPr>
          <w:rFonts w:ascii="Calibri" w:hAnsi="Calibri" w:eastAsia="Calibri"/>
          <w:sz w:val="22"/>
        </w:rPr>
        <w:t xml:space="preserve"> justifie l’interruption temporaire de l’activité, </w:t>
      </w:r>
      <w:r>
        <w:rPr>
          <w:rFonts w:ascii="Calibri" w:hAnsi="Calibri" w:eastAsia="Calibri"/>
          <w:sz w:val="22"/>
          <w:highlight w:val="yellow"/>
        </w:rPr>
        <w:t>[a / ont]</w:t>
      </w:r>
      <w:r>
        <w:rPr>
          <w:rFonts w:ascii="Calibri" w:hAnsi="Calibri" w:eastAsia="Calibri"/>
          <w:sz w:val="22"/>
        </w:rPr>
        <w:t xml:space="preserve"> pris les décisions suivantes :</w:t>
      </w:r>
    </w:p>
    <w:p>
      <w:pPr>
        <w:spacing w:after="120" w:before="0"/>
      </w:pPr>
      <w:r>
        <w:rPr>
          <w:rFonts w:ascii="Calibri" w:hAnsi="Calibri" w:eastAsia="Calibri"/>
          <w:b/>
          <w:sz w:val="22"/>
        </w:rPr>
        <w:t>PREMIÈRE DÉCISION — Cessation temporaire totale d’activité</w:t>
      </w:r>
    </w:p>
    <w:p>
      <w:pPr>
        <w:spacing w:after="160" w:before="0"/>
        <w:jc w:val="both"/>
      </w:pPr>
      <w:r>
        <w:rPr>
          <w:rFonts w:ascii="Calibri" w:hAnsi="Calibri" w:eastAsia="Calibri"/>
          <w:sz w:val="22"/>
        </w:rPr>
        <w:t xml:space="preserve">La société cesse temporairement et totalement son activité à compter du </w:t>
      </w:r>
      <w:r>
        <w:rPr>
          <w:rFonts w:ascii="Calibri" w:hAnsi="Calibri" w:eastAsia="Calibri"/>
          <w:sz w:val="22"/>
          <w:highlight w:val="yellow"/>
        </w:rPr>
        <w:t>[date]</w:t>
      </w:r>
      <w:r>
        <w:rPr>
          <w:rFonts w:ascii="Calibri" w:hAnsi="Calibri" w:eastAsia="Calibri"/>
          <w:sz w:val="22"/>
        </w:rPr>
        <w:t xml:space="preserve">. Elle n’est pas dissoute : elle conserve sa personnalité morale et son immatriculation, et son siège social demeure fixé </w:t>
      </w:r>
      <w:r>
        <w:rPr>
          <w:rFonts w:ascii="Calibri" w:hAnsi="Calibri" w:eastAsia="Calibri"/>
          <w:sz w:val="22"/>
          <w:highlight w:val="yellow"/>
        </w:rPr>
        <w:t>[adresse]</w:t>
      </w:r>
      <w:r>
        <w:rPr>
          <w:rFonts w:ascii="Calibri" w:hAnsi="Calibri" w:eastAsia="Calibri"/>
          <w:sz w:val="22"/>
        </w:rPr>
        <w:t>.</w:t>
      </w:r>
    </w:p>
    <w:p>
      <w:pPr>
        <w:spacing w:after="160" w:before="0"/>
        <w:jc w:val="both"/>
      </w:pPr>
      <w:r>
        <w:rPr>
          <w:rFonts w:ascii="Calibri" w:hAnsi="Calibri" w:eastAsia="Calibri"/>
          <w:sz w:val="22"/>
        </w:rPr>
        <w:t xml:space="preserve">Le signataire déclare que la société n’est pas en état de cessation des paiements </w:t>
      </w:r>
      <w:r>
        <w:rPr>
          <w:rFonts w:ascii="Calibri" w:hAnsi="Calibri" w:eastAsia="Calibri"/>
          <w:sz w:val="22"/>
          <w:highlight w:val="yellow"/>
        </w:rPr>
        <w:t>[et qu’elle est en mesure de faire face à ses échéances pendant la période de mise en sommeil]</w:t>
      </w:r>
      <w:r>
        <w:rPr>
          <w:rFonts w:ascii="Calibri" w:hAnsi="Calibri" w:eastAsia="Calibri"/>
          <w:sz w:val="22"/>
        </w:rPr>
        <w:t>.</w:t>
      </w:r>
    </w:p>
    <w:p>
      <w:pPr>
        <w:spacing w:after="240" w:before="0"/>
      </w:pPr>
      <w:r>
        <w:rPr>
          <w:rFonts w:ascii="Calibri" w:hAnsi="Calibri" w:eastAsia="Calibri"/>
          <w:b/>
          <w:sz w:val="22"/>
        </w:rPr>
        <w:t xml:space="preserve">Décision prise par </w:t>
      </w:r>
      <w:r>
        <w:rPr>
          <w:rFonts w:ascii="Calibri" w:hAnsi="Calibri" w:eastAsia="Calibri"/>
          <w:b/>
          <w:sz w:val="22"/>
          <w:highlight w:val="yellow"/>
        </w:rPr>
        <w:t>[le gérant / le Président / les associés à … / l’associé unique]</w:t>
      </w:r>
      <w:r>
        <w:rPr>
          <w:rFonts w:ascii="Calibri" w:hAnsi="Calibri" w:eastAsia="Calibri"/>
          <w:b/>
          <w:sz w:val="22"/>
        </w:rPr>
        <w:t>.</w:t>
      </w:r>
    </w:p>
    <w:p>
      <w:pPr>
        <w:spacing w:after="120" w:before="0"/>
      </w:pPr>
      <w:r>
        <w:rPr>
          <w:rFonts w:ascii="Calibri" w:hAnsi="Calibri" w:eastAsia="Calibri"/>
          <w:b/>
          <w:sz w:val="22"/>
        </w:rPr>
        <w:t>DEUXIÈME DÉCISION — Établissements secondaires</w:t>
      </w:r>
    </w:p>
    <w:p>
      <w:pPr>
        <w:spacing w:after="160" w:before="0"/>
        <w:jc w:val="both"/>
      </w:pPr>
      <w:r>
        <w:rPr>
          <w:rFonts w:ascii="Calibri" w:hAnsi="Calibri" w:eastAsia="Calibri"/>
          <w:sz w:val="22"/>
          <w:highlight w:val="yellow"/>
        </w:rPr>
        <w:t>[La société n’a pas d’établissement secondaire.]</w:t>
      </w:r>
      <w:r>
        <w:rPr>
          <w:rFonts w:ascii="Calibri" w:hAnsi="Calibri" w:eastAsia="Calibri"/>
          <w:sz w:val="22"/>
        </w:rPr>
        <w:t xml:space="preserve"> </w:t>
      </w:r>
      <w:r>
        <w:rPr>
          <w:rFonts w:ascii="Calibri" w:hAnsi="Calibri" w:eastAsia="Calibri"/>
          <w:sz w:val="22"/>
          <w:highlight w:val="yellow"/>
        </w:rPr>
        <w:t>[ou : L’établissement secondaire situé … sera fermé, et sa fermeture déclarée, préalablement à la déclaration de mise en sommeil.]</w:t>
      </w:r>
    </w:p>
    <w:p>
      <w:pPr>
        <w:spacing w:after="240" w:before="0"/>
      </w:pPr>
      <w:r>
        <w:rPr>
          <w:rFonts w:ascii="Calibri" w:hAnsi="Calibri" w:eastAsia="Calibri"/>
          <w:b/>
          <w:sz w:val="22"/>
        </w:rPr>
        <w:t xml:space="preserve">Décision prise par </w:t>
      </w:r>
      <w:r>
        <w:rPr>
          <w:rFonts w:ascii="Calibri" w:hAnsi="Calibri" w:eastAsia="Calibri"/>
          <w:b/>
          <w:sz w:val="22"/>
          <w:highlight w:val="yellow"/>
        </w:rPr>
        <w:t>[…]</w:t>
      </w:r>
      <w:r>
        <w:rPr>
          <w:rFonts w:ascii="Calibri" w:hAnsi="Calibri" w:eastAsia="Calibri"/>
          <w:b/>
          <w:sz w:val="22"/>
        </w:rPr>
        <w:t>.</w:t>
      </w:r>
    </w:p>
    <w:p>
      <w:pPr>
        <w:spacing w:after="120" w:before="0"/>
      </w:pPr>
      <w:r>
        <w:rPr>
          <w:rFonts w:ascii="Calibri" w:hAnsi="Calibri" w:eastAsia="Calibri"/>
          <w:b/>
          <w:sz w:val="22"/>
        </w:rPr>
        <w:t>TROISIÈME DÉCISION — Contrats et obligations pendant la mise en sommeil</w:t>
      </w:r>
    </w:p>
    <w:p>
      <w:pPr>
        <w:spacing w:after="160" w:before="0"/>
        <w:jc w:val="both"/>
      </w:pPr>
      <w:r>
        <w:rPr>
          <w:rFonts w:ascii="Calibri" w:hAnsi="Calibri" w:eastAsia="Calibri"/>
          <w:sz w:val="22"/>
        </w:rPr>
        <w:t>Pendant la mise en sommeil, la société continuera d’établir et de faire approuver ses comptes annuels, de les déposer et de souscrire ses déclarations fiscales et sociales.</w:t>
      </w:r>
    </w:p>
    <w:p>
      <w:pPr>
        <w:spacing w:after="160" w:before="0"/>
        <w:jc w:val="both"/>
      </w:pPr>
      <w:r>
        <w:rPr>
          <w:rFonts w:ascii="Calibri" w:hAnsi="Calibri" w:eastAsia="Calibri"/>
          <w:sz w:val="22"/>
        </w:rPr>
        <w:t xml:space="preserve">Sort des contrats en cours : </w:t>
      </w:r>
      <w:r>
        <w:rPr>
          <w:rFonts w:ascii="Calibri" w:hAnsi="Calibri" w:eastAsia="Calibri"/>
          <w:sz w:val="22"/>
          <w:highlight w:val="yellow"/>
        </w:rPr>
        <w:t>[bail du local : maintenu / résilié / domiciliation de la société chez … ; salariés : … ; abonnements, assurances, compte bancaire : …]</w:t>
      </w:r>
      <w:r>
        <w:rPr>
          <w:rFonts w:ascii="Calibri" w:hAnsi="Calibri" w:eastAsia="Calibri"/>
          <w:sz w:val="22"/>
        </w:rPr>
        <w:t>.</w:t>
      </w:r>
    </w:p>
    <w:p>
      <w:pPr>
        <w:spacing w:after="240" w:before="0"/>
      </w:pPr>
      <w:r>
        <w:rPr>
          <w:rFonts w:ascii="Calibri" w:hAnsi="Calibri" w:eastAsia="Calibri"/>
          <w:b/>
          <w:sz w:val="22"/>
        </w:rPr>
        <w:t xml:space="preserve">Décision prise par </w:t>
      </w:r>
      <w:r>
        <w:rPr>
          <w:rFonts w:ascii="Calibri" w:hAnsi="Calibri" w:eastAsia="Calibri"/>
          <w:b/>
          <w:sz w:val="22"/>
          <w:highlight w:val="yellow"/>
        </w:rPr>
        <w:t>[…]</w:t>
      </w:r>
      <w:r>
        <w:rPr>
          <w:rFonts w:ascii="Calibri" w:hAnsi="Calibri" w:eastAsia="Calibri"/>
          <w:b/>
          <w:sz w:val="22"/>
        </w:rPr>
        <w:t>.</w:t>
      </w:r>
    </w:p>
    <w:p>
      <w:pPr>
        <w:spacing w:after="120" w:before="0"/>
      </w:pPr>
      <w:r>
        <w:rPr>
          <w:rFonts w:ascii="Calibri" w:hAnsi="Calibri" w:eastAsia="Calibri"/>
          <w:b/>
          <w:sz w:val="22"/>
        </w:rPr>
        <w:t>QUATRIÈME DÉCISION — Formalités</w:t>
      </w:r>
    </w:p>
    <w:p>
      <w:pPr>
        <w:spacing w:after="160" w:before="0"/>
        <w:jc w:val="both"/>
      </w:pPr>
      <w:r>
        <w:rPr>
          <w:rFonts w:ascii="Calibri" w:hAnsi="Calibri" w:eastAsia="Calibri"/>
          <w:sz w:val="22"/>
        </w:rPr>
        <w:t xml:space="preserve">Tous pouvoirs sont donnés au </w:t>
      </w:r>
      <w:r>
        <w:rPr>
          <w:rFonts w:ascii="Calibri" w:hAnsi="Calibri" w:eastAsia="Calibri"/>
          <w:sz w:val="22"/>
          <w:highlight w:val="yellow"/>
        </w:rPr>
        <w:t>[gérant / Président]</w:t>
      </w:r>
      <w:r>
        <w:rPr>
          <w:rFonts w:ascii="Calibri" w:hAnsi="Calibri" w:eastAsia="Calibri"/>
          <w:sz w:val="22"/>
        </w:rPr>
        <w:t xml:space="preserve"> pour déclarer la cessation temporaire totale d’activité sur le guichet unique des formalités d’entreprises dans le délai d’un mois, en vue de son inscription au registre national des entreprises (C. com., art. R. 123-263, 3°) et au registre du commerce et des sociétés.</w:t>
      </w:r>
    </w:p>
    <w:p>
      <w:pPr>
        <w:spacing w:after="280" w:before="0"/>
      </w:pPr>
      <w:r>
        <w:rPr>
          <w:rFonts w:ascii="Calibri" w:hAnsi="Calibri" w:eastAsia="Calibri"/>
          <w:b/>
          <w:sz w:val="22"/>
        </w:rPr>
        <w:t xml:space="preserve">Décision prise par </w:t>
      </w:r>
      <w:r>
        <w:rPr>
          <w:rFonts w:ascii="Calibri" w:hAnsi="Calibri" w:eastAsia="Calibri"/>
          <w:b/>
          <w:sz w:val="22"/>
          <w:highlight w:val="yellow"/>
        </w:rPr>
        <w:t>[…]</w:t>
      </w:r>
      <w:r>
        <w:rPr>
          <w:rFonts w:ascii="Calibri" w:hAnsi="Calibri" w:eastAsia="Calibri"/>
          <w:b/>
          <w:sz w:val="22"/>
        </w:rPr>
        <w:t>.</w:t>
      </w:r>
    </w:p>
    <w:p>
      <w:pPr>
        <w:spacing w:after="320" w:before="0"/>
        <w:jc w:val="both"/>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 xml:space="preserve">. </w:t>
      </w:r>
      <w:r>
        <w:rPr>
          <w:rFonts w:ascii="Calibri" w:hAnsi="Calibri" w:eastAsia="Calibri"/>
          <w:sz w:val="22"/>
          <w:highlight w:val="yellow"/>
        </w:rPr>
        <w:t>[Le présent acte est consigné au registre des décisions / des procès-verbaux.]</w:t>
      </w:r>
    </w:p>
    <w:p>
      <w:pPr>
        <w:spacing w:after="40" w:before="0"/>
      </w:pPr>
      <w:r>
        <w:rPr>
          <w:rFonts w:ascii="Calibri" w:hAnsi="Calibri" w:eastAsia="Calibri"/>
          <w:b/>
          <w:sz w:val="22"/>
        </w:rPr>
        <w:t>Le représentant légal</w:t>
      </w:r>
    </w:p>
    <w:p>
      <w:pPr>
        <w:spacing w:after="280" w:before="0"/>
      </w:pPr>
      <w:r>
        <w:rPr>
          <w:rFonts w:ascii="Calibri" w:hAnsi="Calibri" w:eastAsia="Calibri"/>
          <w:sz w:val="22"/>
          <w:highlight w:val="yellow"/>
        </w:rPr>
        <w:t>[Prénom NOM — qualité — signature]</w:t>
      </w:r>
    </w:p>
    <w:p>
      <w:pPr>
        <w:spacing w:after="40" w:before="0"/>
      </w:pPr>
      <w:r>
        <w:rPr>
          <w:rFonts w:ascii="Calibri" w:hAnsi="Calibri" w:eastAsia="Calibri"/>
          <w:b/>
          <w:sz w:val="22"/>
          <w:highlight w:val="yellow"/>
        </w:rPr>
        <w:t>[Le cas échéant : les associés / l’associé unique]</w:t>
      </w:r>
    </w:p>
    <w:p>
      <w:pPr>
        <w:spacing w:after="280" w:before="0"/>
      </w:pPr>
      <w:r>
        <w:rPr>
          <w:rFonts w:ascii="Calibri" w:hAnsi="Calibri" w:eastAsia="Calibri"/>
          <w:sz w:val="22"/>
          <w:highlight w:val="yellow"/>
        </w:rPr>
        <w:t>[Prénoms NOMS — signatures]</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Qui décide ? Selon service-public (F37362), la mise en sommeil est décidée par le représentant légal (gérant, Président) ; l’assemblée des associés est facultative, sauf si les statuts l’imposent. Lisez les statuts et, dans le doute, faites ratifier la décision par les associés (option B).</w:t>
      </w:r>
    </w:p>
    <w:p>
      <w:pPr>
        <w:spacing w:after="100" w:before="0"/>
        <w:jc w:val="both"/>
      </w:pPr>
      <w:r>
        <w:rPr>
          <w:rFonts w:ascii="Calibri" w:hAnsi="Calibri" w:eastAsia="Calibri"/>
          <w:color w:val="374151"/>
          <w:sz w:val="20"/>
        </w:rPr>
        <w:t>• Préalable : la société ne doit pas être en cessation des paiements. Si elle l’est, l’ouverture d’une procédure collective doit être demandée dans les quarante-cinq jours, sauf conciliation (C. com., art. L. 631-4) — la mise en sommeil n’est pas une solution.</w:t>
      </w:r>
    </w:p>
    <w:p>
      <w:pPr>
        <w:spacing w:after="100" w:before="0"/>
        <w:jc w:val="both"/>
      </w:pPr>
      <w:r>
        <w:rPr>
          <w:rFonts w:ascii="Calibri" w:hAnsi="Calibri" w:eastAsia="Calibri"/>
          <w:color w:val="374151"/>
          <w:sz w:val="20"/>
        </w:rPr>
        <w:t>• Formalité : déclaration au guichet unique dans le mois (service-public F37362 ; C. com., art. R. 123-66). Les établissements secondaires doivent être fermés avant. Aucune annonce légale n’est nécessaire ; l’insertion au BODACC est automatique (service-public, F37362).</w:t>
      </w:r>
    </w:p>
    <w:p>
      <w:pPr>
        <w:spacing w:after="100" w:before="0"/>
        <w:jc w:val="both"/>
      </w:pPr>
      <w:r>
        <w:rPr>
          <w:rFonts w:ascii="Calibri" w:hAnsi="Calibri" w:eastAsia="Calibri"/>
          <w:color w:val="374151"/>
          <w:sz w:val="20"/>
        </w:rPr>
        <w:t>• Durée : l’article R. 123-130 du code de commerce ne fixe pas de durée maximale, mais au terme de deux ans après la mention de la cessation totale d’activité sans inscription de reprise, le greffier peut radier d’office la société, après l’en avoir informée par lettre recommandée avec avis de réception (C. com., art. R. 123-130). Service-public présente la mise en sommeil comme limitée à deux ans. Notez la date d’échéance.</w:t>
      </w:r>
    </w:p>
    <w:p>
      <w:pPr>
        <w:spacing w:after="100" w:before="0"/>
        <w:jc w:val="both"/>
      </w:pPr>
      <w:r>
        <w:rPr>
          <w:rFonts w:ascii="Calibri" w:hAnsi="Calibri" w:eastAsia="Calibri"/>
          <w:color w:val="374151"/>
          <w:sz w:val="20"/>
        </w:rPr>
        <w:t>• Comptes : les obligations comptables continuent (comptes annuels, approbation, dépôt). Une micro-entreprise sans salarié en cessation temporaire inscrite peut établir un bilan et un compte de résultat abrégés, jusqu’à la reprise et au plus tard jusqu’à l’issue du deuxième exercice suivant l’inscription, sauf opérations modifiant la structure du bilan (C. com., art. L. 123-28-2).</w:t>
      </w:r>
    </w:p>
    <w:p>
      <w:pPr>
        <w:spacing w:after="100" w:before="0"/>
        <w:jc w:val="both"/>
      </w:pPr>
      <w:r>
        <w:rPr>
          <w:rFonts w:ascii="Calibri" w:hAnsi="Calibri" w:eastAsia="Calibri"/>
          <w:color w:val="374151"/>
          <w:sz w:val="20"/>
        </w:rPr>
        <w:t>• Fiscal et social : selon service-public (F37362), les déclarations de résultat restent dues (mention « néant »), la cotisation foncière des entreprises reste due pendant les douze premiers mois d’inactivité, et le dirigeant relevant de la sécurité sociale des indépendants continue de verser des cotisations minimales. Selon la même fiche, la société en sommeil est dispensée de déclaration et de paiement de la TVA et, au-delà de douze mois d’inactivité, exonérée de cotisation foncière des entreprises. Faites le point avec votre comptable.</w:t>
      </w:r>
    </w:p>
    <w:p>
      <w:pPr>
        <w:spacing w:after="100" w:before="0"/>
        <w:jc w:val="both"/>
      </w:pPr>
      <w:r>
        <w:rPr>
          <w:rFonts w:ascii="Calibri" w:hAnsi="Calibri" w:eastAsia="Calibri"/>
          <w:color w:val="374151"/>
          <w:sz w:val="20"/>
        </w:rPr>
        <w:t>• Bail commercial : si le bail impose une exploitation continue, la mise en sommeil expose à une résiliation ou à un refus de renouvellement (service-public, F37362) : relisez le bail avant de décider.</w:t>
      </w:r>
    </w:p>
    <w:p>
      <w:pPr>
        <w:spacing w:after="100" w:before="0"/>
        <w:jc w:val="both"/>
      </w:pPr>
      <w:r>
        <w:rPr>
          <w:rFonts w:ascii="Calibri" w:hAnsi="Calibri" w:eastAsia="Calibri"/>
          <w:color w:val="374151"/>
          <w:sz w:val="20"/>
        </w:rPr>
        <w:t>• Pour reprendre l’activité, utilisez le modèle de décision de reprise d’activité ; pour arrêter définitivement, le modèle de dissolution anticipée.</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Conservez l’original signé au siège (registre des décisions ou registre des procès-verbaux).</w:t>
      </w:r>
    </w:p>
    <w:p>
      <w:pPr>
        <w:spacing w:after="100" w:before="0"/>
        <w:jc w:val="both"/>
      </w:pPr>
      <w:r>
        <w:rPr>
          <w:rFonts w:ascii="Calibri" w:hAnsi="Calibri" w:eastAsia="Calibri"/>
          <w:color w:val="374151"/>
          <w:sz w:val="20"/>
        </w:rPr>
        <w:t>• Ce modèle est une base de travail : il ne remplace pas un conseil adapté à la situation de la société. Faites relire l’acte par un avocat avant signature, en particulier si la société a des dettes, des salariés, des biens immobiliers, un litige en cours ou plusieurs associés en désaccord.</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Décision de mise en sommeil d’une société (cessation temporaire d’activité)</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