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highlight w:val="yellow"/>
        </w:rPr>
        <w:t>[Société à responsabilité limitée à associé unique / Société par actions simplifiée unipersonnelle / Société civile immobilière]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DÉCISION DE L’ASSOCIÉ UNIQUE</w:t>
      </w:r>
    </w:p>
    <w:p>
      <w:pPr>
        <w:spacing w:after="40" w:before="0"/>
        <w:jc w:val="center"/>
      </w:pPr>
      <w:r>
        <w:rPr>
          <w:rFonts w:ascii="Calibri" w:hAnsi="Calibri" w:eastAsia="Calibri"/>
          <w:b/>
          <w:sz w:val="22"/>
        </w:rPr>
        <w:t xml:space="preserve">du </w:t>
      </w:r>
      <w:r>
        <w:rPr>
          <w:rFonts w:ascii="Calibri" w:hAnsi="Calibri" w:eastAsia="Calibri"/>
          <w:b/>
          <w:sz w:val="22"/>
          <w:highlight w:val="yellow"/>
        </w:rPr>
        <w:t>[date]</w:t>
      </w:r>
    </w:p>
    <w:p>
      <w:pPr>
        <w:spacing w:after="320" w:before="0"/>
        <w:jc w:val="center"/>
      </w:pPr>
      <w:r>
        <w:rPr>
          <w:rFonts w:ascii="Calibri" w:hAnsi="Calibri" w:eastAsia="Calibri"/>
          <w:b/>
          <w:sz w:val="22"/>
        </w:rPr>
        <w:t>Dissolution sans liquidation — transmission universelle du patrimoine (article 1844-5 du code civil)</w:t>
      </w:r>
    </w:p>
    <w:p>
      <w:pPr>
        <w:spacing w:after="120" w:before="0"/>
      </w:pPr>
      <w:r>
        <w:rPr>
          <w:rFonts w:ascii="Calibri" w:hAnsi="Calibri" w:eastAsia="Calibri"/>
          <w:b/>
          <w:sz w:val="22"/>
        </w:rPr>
        <w:t>EXPOSÉ PRÉALABLE</w:t>
      </w:r>
    </w:p>
    <w:p>
      <w:pPr>
        <w:spacing w:after="240" w:before="0"/>
        <w:jc w:val="both"/>
      </w:pPr>
      <w:r>
        <w:rPr>
          <w:rFonts w:ascii="Calibri" w:hAnsi="Calibri" w:eastAsia="Calibri"/>
          <w:sz w:val="22"/>
        </w:rPr>
        <w:t xml:space="preserve">La société </w:t>
      </w:r>
      <w:r>
        <w:rPr>
          <w:rFonts w:ascii="Calibri" w:hAnsi="Calibri" w:eastAsia="Calibri"/>
          <w:sz w:val="22"/>
          <w:highlight w:val="yellow"/>
        </w:rPr>
        <w:t>[dénomination]</w:t>
      </w:r>
      <w:r>
        <w:rPr>
          <w:rFonts w:ascii="Calibri" w:hAnsi="Calibri" w:eastAsia="Calibri"/>
          <w:sz w:val="22"/>
        </w:rPr>
        <w:t xml:space="preserve"> a pour associé unique une personne morale, la société </w:t>
      </w:r>
      <w:r>
        <w:rPr>
          <w:rFonts w:ascii="Calibri" w:hAnsi="Calibri" w:eastAsia="Calibri"/>
          <w:sz w:val="22"/>
          <w:highlight w:val="yellow"/>
        </w:rPr>
        <w:t>[DÉNOMINATION DE L’ASSOCIÉ]</w:t>
      </w:r>
      <w:r>
        <w:rPr>
          <w:rFonts w:ascii="Calibri" w:hAnsi="Calibri" w:eastAsia="Calibri"/>
          <w:sz w:val="22"/>
        </w:rPr>
        <w:t xml:space="preserve">. En application du troisième alinéa de l’article 1844-5 du code civil, la dissolution de la société entraîne la transmission universelle de son patrimoine à cet associé unique, sans qu’il y ait lieu à liquidation. </w:t>
      </w:r>
      <w:r>
        <w:rPr>
          <w:rFonts w:ascii="Calibri" w:hAnsi="Calibri" w:eastAsia="Calibri"/>
          <w:sz w:val="22"/>
          <w:highlight w:val="yellow"/>
        </w:rPr>
        <w:t>[Motif de l’opération : simplification de l’organisation du groupe / …]</w:t>
      </w:r>
      <w:r>
        <w:rPr>
          <w:rFonts w:ascii="Calibri" w:hAnsi="Calibri" w:eastAsia="Calibri"/>
          <w:sz w:val="22"/>
        </w:rPr>
        <w:t>.</w:t>
      </w:r>
    </w:p>
    <w:p>
      <w:pPr>
        <w:spacing w:after="160" w:before="0"/>
        <w:jc w:val="both"/>
      </w:pPr>
      <w:r>
        <w:rPr>
          <w:rFonts w:ascii="Calibri" w:hAnsi="Calibri" w:eastAsia="Calibri"/>
          <w:sz w:val="22"/>
        </w:rPr>
        <w:t xml:space="preserve">La société </w:t>
      </w:r>
      <w:r>
        <w:rPr>
          <w:rFonts w:ascii="Calibri" w:hAnsi="Calibri" w:eastAsia="Calibri"/>
          <w:b/>
          <w:sz w:val="22"/>
          <w:highlight w:val="yellow"/>
        </w:rPr>
        <w:t>[DÉNOMINATION DE L’ASSOCIÉ]</w:t>
      </w:r>
      <w:r>
        <w:rPr>
          <w:rFonts w:ascii="Calibri" w:hAnsi="Calibri" w:eastAsia="Calibri"/>
          <w:sz w:val="22"/>
        </w:rPr>
        <w:t xml:space="preserve">, </w:t>
      </w:r>
      <w:r>
        <w:rPr>
          <w:rFonts w:ascii="Calibri" w:hAnsi="Calibri" w:eastAsia="Calibri"/>
          <w:sz w:val="22"/>
          <w:highlight w:val="yellow"/>
        </w:rPr>
        <w:t>[forme]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 dont le siège est </w:t>
      </w:r>
      <w:r>
        <w:rPr>
          <w:rFonts w:ascii="Calibri" w:hAnsi="Calibri" w:eastAsia="Calibri"/>
          <w:sz w:val="22"/>
          <w:highlight w:val="yellow"/>
        </w:rPr>
        <w:t>[adresse]</w:t>
      </w:r>
      <w:r>
        <w:rPr>
          <w:rFonts w:ascii="Calibri" w:hAnsi="Calibri" w:eastAsia="Calibri"/>
          <w:sz w:val="22"/>
        </w:rPr>
        <w:t xml:space="preserve">, immatriculée sous le n° </w:t>
      </w:r>
      <w:r>
        <w:rPr>
          <w:rFonts w:ascii="Calibri" w:hAnsi="Calibri" w:eastAsia="Calibri"/>
          <w:sz w:val="22"/>
          <w:highlight w:val="yellow"/>
        </w:rPr>
        <w:t>[SIREN]</w:t>
      </w:r>
      <w:r>
        <w:rPr>
          <w:rFonts w:ascii="Calibri" w:hAnsi="Calibri" w:eastAsia="Calibri"/>
          <w:sz w:val="22"/>
        </w:rPr>
        <w:t xml:space="preserve"> RCS </w:t>
      </w:r>
      <w:r>
        <w:rPr>
          <w:rFonts w:ascii="Calibri" w:hAnsi="Calibri" w:eastAsia="Calibri"/>
          <w:sz w:val="22"/>
          <w:highlight w:val="yellow"/>
        </w:rPr>
        <w:t>[ville]</w:t>
      </w:r>
      <w:r>
        <w:rPr>
          <w:rFonts w:ascii="Calibri" w:hAnsi="Calibri" w:eastAsia="Calibri"/>
          <w:sz w:val="22"/>
        </w:rPr>
        <w:t xml:space="preserve">, représentée par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[qualité : Président / gérant / …]</w:t>
      </w:r>
      <w:r>
        <w:rPr>
          <w:rFonts w:ascii="Calibri" w:hAnsi="Calibri" w:eastAsia="Calibri"/>
          <w:sz w:val="22"/>
        </w:rPr>
        <w:t xml:space="preserve">, dûment habilité(e) </w:t>
      </w:r>
      <w:r>
        <w:rPr>
          <w:rFonts w:ascii="Calibri" w:hAnsi="Calibri" w:eastAsia="Calibri"/>
          <w:sz w:val="22"/>
          <w:highlight w:val="yellow"/>
        </w:rPr>
        <w:t>[en vertu des statuts / d’une décision de … du …]</w:t>
      </w:r>
      <w:r>
        <w:rPr>
          <w:rFonts w:ascii="Calibri" w:hAnsi="Calibri" w:eastAsia="Calibri"/>
          <w:sz w:val="22"/>
        </w:rPr>
        <w:t>,</w:t>
      </w:r>
    </w:p>
    <w:p>
      <w:pPr>
        <w:spacing w:after="240" w:before="0"/>
        <w:jc w:val="both"/>
      </w:pPr>
      <w:r>
        <w:rPr>
          <w:rFonts w:ascii="Calibri" w:hAnsi="Calibri" w:eastAsia="Calibri"/>
          <w:sz w:val="22"/>
        </w:rPr>
        <w:t xml:space="preserve">associée unique de la société </w:t>
      </w:r>
      <w:r>
        <w:rPr>
          <w:rFonts w:ascii="Calibri" w:hAnsi="Calibri" w:eastAsia="Calibri"/>
          <w:sz w:val="22"/>
          <w:highlight w:val="yellow"/>
        </w:rPr>
        <w:t>[dénomination]</w:t>
      </w:r>
      <w:r>
        <w:rPr>
          <w:rFonts w:ascii="Calibri" w:hAnsi="Calibri" w:eastAsia="Calibri"/>
          <w:sz w:val="22"/>
        </w:rPr>
        <w:t xml:space="preserve">, propriétaire de la totalité des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sociales / actions]</w:t>
      </w:r>
      <w:r>
        <w:rPr>
          <w:rFonts w:ascii="Calibri" w:hAnsi="Calibri" w:eastAsia="Calibri"/>
          <w:sz w:val="22"/>
        </w:rPr>
        <w:t xml:space="preserve"> composant son capital social (ci-après « l’associé unique »), connaissance prise de l’exposé qui précède, a pris les décisions suivantes :</w:t>
      </w:r>
    </w:p>
    <w:p>
      <w:pPr>
        <w:spacing w:after="120" w:before="0"/>
      </w:pPr>
      <w:r>
        <w:rPr>
          <w:rFonts w:ascii="Calibri" w:hAnsi="Calibri" w:eastAsia="Calibri"/>
          <w:b/>
          <w:sz w:val="22"/>
        </w:rPr>
        <w:t>PREMIÈRE DÉCISION — Dissolution anticipée sans liquidation</w:t>
      </w:r>
    </w:p>
    <w:p>
      <w:pPr>
        <w:spacing w:after="160" w:before="0"/>
        <w:jc w:val="both"/>
      </w:pPr>
      <w:r>
        <w:rPr>
          <w:rFonts w:ascii="Calibri" w:hAnsi="Calibri" w:eastAsia="Calibri"/>
          <w:sz w:val="22"/>
        </w:rPr>
        <w:t xml:space="preserve">L’associé unique décide la dissolution anticipée de la société à compter de ce jour, </w:t>
      </w:r>
      <w:r>
        <w:rPr>
          <w:rFonts w:ascii="Calibri" w:hAnsi="Calibri" w:eastAsia="Calibri"/>
          <w:sz w:val="22"/>
          <w:highlight w:val="yellow"/>
        </w:rPr>
        <w:t>[date]</w:t>
      </w:r>
      <w:r>
        <w:rPr>
          <w:rFonts w:ascii="Calibri" w:hAnsi="Calibri" w:eastAsia="Calibri"/>
          <w:sz w:val="22"/>
        </w:rPr>
        <w:t>.</w:t>
      </w:r>
    </w:p>
    <w:p>
      <w:pPr>
        <w:spacing w:after="240" w:before="0"/>
      </w:pPr>
      <w:r>
        <w:rPr>
          <w:rFonts w:ascii="Calibri" w:hAnsi="Calibri" w:eastAsia="Calibri"/>
          <w:b/>
          <w:sz w:val="22"/>
        </w:rPr>
        <w:t>Cette décision est prise par l’associé unique.</w:t>
      </w:r>
    </w:p>
    <w:p>
      <w:pPr>
        <w:spacing w:after="120" w:before="0"/>
      </w:pPr>
      <w:r>
        <w:rPr>
          <w:rFonts w:ascii="Calibri" w:hAnsi="Calibri" w:eastAsia="Calibri"/>
          <w:b/>
          <w:sz w:val="22"/>
        </w:rPr>
        <w:t>DEUXIÈME DÉCISION — Transmission universelle du patrimoine</w:t>
      </w:r>
    </w:p>
    <w:p>
      <w:pPr>
        <w:spacing w:after="160" w:before="0"/>
        <w:jc w:val="both"/>
      </w:pPr>
      <w:r>
        <w:rPr>
          <w:rFonts w:ascii="Calibri" w:hAnsi="Calibri" w:eastAsia="Calibri"/>
          <w:sz w:val="22"/>
        </w:rPr>
        <w:t>L’associé unique prend acte que cette dissolution entraîne la transmission universelle du patrimoine de la société à son profit : l’ensemble des éléments d’actif et de passif de la société lui sera transmis dans l’état où ils se trouveront à la date de réalisation de la transmission.</w:t>
      </w:r>
    </w:p>
    <w:p>
      <w:pPr>
        <w:spacing w:after="160" w:before="0"/>
        <w:jc w:val="both"/>
      </w:pPr>
      <w:r>
        <w:rPr>
          <w:rFonts w:ascii="Calibri" w:hAnsi="Calibri" w:eastAsia="Calibri"/>
          <w:sz w:val="22"/>
        </w:rPr>
        <w:t>Les créanciers de la société peuvent faire opposition à la dissolution dans le délai de trente jours à compter de sa publication (C. civ., art. 1844-5, al. 3), ce délai courant à compter de la publication de la dissolution au Bulletin officiel des annonces civiles et commerciales (décret n° 78-704 du 3 juillet 1978, art. 8).</w:t>
      </w:r>
    </w:p>
    <w:p>
      <w:pPr>
        <w:spacing w:after="160" w:before="0"/>
        <w:jc w:val="both"/>
      </w:pPr>
      <w:r>
        <w:rPr>
          <w:rFonts w:ascii="Calibri" w:hAnsi="Calibri" w:eastAsia="Calibri"/>
          <w:sz w:val="22"/>
        </w:rPr>
        <w:t>La transmission du patrimoine ne sera réalisée, et la société ne disparaîtra, qu’à l’issue de ce délai d’opposition ou, le cas échéant, lorsque l’opposition aura été rejetée en première instance ou que le remboursement des créances aura été effectué ou les garanties constituées (C. civ., art. 1844-5, al. 3).</w:t>
      </w:r>
    </w:p>
    <w:p>
      <w:pPr>
        <w:spacing w:after="160" w:before="0"/>
        <w:jc w:val="both"/>
      </w:pPr>
      <w:r>
        <w:rPr>
          <w:rFonts w:ascii="Calibri" w:hAnsi="Calibri" w:eastAsia="Calibri"/>
          <w:sz w:val="22"/>
          <w:highlight w:val="yellow"/>
        </w:rPr>
        <w:t>[Le cas échéant — bail commercial :]</w:t>
      </w:r>
      <w:r>
        <w:rPr>
          <w:rFonts w:ascii="Calibri" w:hAnsi="Calibri" w:eastAsia="Calibri"/>
          <w:sz w:val="22"/>
        </w:rPr>
        <w:t xml:space="preserve"> l’associé unique sera substitué à la société dans tous les droits et obligations découlant du bail commercial portant sur les locaux situés </w:t>
      </w:r>
      <w:r>
        <w:rPr>
          <w:rFonts w:ascii="Calibri" w:hAnsi="Calibri" w:eastAsia="Calibri"/>
          <w:sz w:val="22"/>
          <w:highlight w:val="yellow"/>
        </w:rPr>
        <w:t>[adresse]</w:t>
      </w:r>
      <w:r>
        <w:rPr>
          <w:rFonts w:ascii="Calibri" w:hAnsi="Calibri" w:eastAsia="Calibri"/>
          <w:sz w:val="22"/>
        </w:rPr>
        <w:t>, nonobstant toute stipulation contraire (C. com., art. L. 145-16, al. 2).</w:t>
      </w:r>
    </w:p>
    <w:p>
      <w:pPr>
        <w:spacing w:after="160" w:before="0"/>
        <w:jc w:val="both"/>
      </w:pPr>
      <w:r>
        <w:rPr>
          <w:rFonts w:ascii="Calibri" w:hAnsi="Calibri" w:eastAsia="Calibri"/>
          <w:sz w:val="22"/>
          <w:highlight w:val="yellow"/>
        </w:rPr>
        <w:t>[Le cas échéant — régime fiscal, réservé selon service-public (F35962) au cas où la société dissoute et l’associé unique sont soumis à l’impôt sur les sociétés : engagements de l’associé unique requis pour l’application du régime prévu à l’article 210-0 A du code général des impôts, à rédiger avec le conseil fiscal de la société.]</w:t>
      </w:r>
    </w:p>
    <w:p>
      <w:pPr>
        <w:spacing w:after="240" w:before="0"/>
      </w:pPr>
      <w:r>
        <w:rPr>
          <w:rFonts w:ascii="Calibri" w:hAnsi="Calibri" w:eastAsia="Calibri"/>
          <w:b/>
          <w:sz w:val="22"/>
        </w:rPr>
        <w:t>Cette décision est prise par l’associé unique.</w:t>
      </w:r>
    </w:p>
    <w:p>
      <w:pPr>
        <w:spacing w:after="120" w:before="0"/>
      </w:pPr>
      <w:r>
        <w:rPr>
          <w:rFonts w:ascii="Calibri" w:hAnsi="Calibri" w:eastAsia="Calibri"/>
          <w:b/>
          <w:sz w:val="22"/>
        </w:rPr>
        <w:t>TROISIÈME DÉCISION — Dirigeant</w:t>
      </w:r>
    </w:p>
    <w:p>
      <w:pPr>
        <w:spacing w:after="160" w:before="0"/>
        <w:jc w:val="both"/>
      </w:pPr>
      <w:r>
        <w:rPr>
          <w:rFonts w:ascii="Calibri" w:hAnsi="Calibri" w:eastAsia="Calibri"/>
          <w:sz w:val="22"/>
          <w:highlight w:val="yellow"/>
        </w:rPr>
        <w:t>[Prénom NOM / la société …]</w:t>
      </w:r>
      <w:r>
        <w:rPr>
          <w:rFonts w:ascii="Calibri" w:hAnsi="Calibri" w:eastAsia="Calibri"/>
          <w:sz w:val="22"/>
        </w:rPr>
        <w:t xml:space="preserve">, </w:t>
      </w:r>
      <w:r>
        <w:rPr>
          <w:rFonts w:ascii="Calibri" w:hAnsi="Calibri" w:eastAsia="Calibri"/>
          <w:sz w:val="22"/>
          <w:highlight w:val="yellow"/>
        </w:rPr>
        <w:t>[gérant / Président]</w:t>
      </w:r>
      <w:r>
        <w:rPr>
          <w:rFonts w:ascii="Calibri" w:hAnsi="Calibri" w:eastAsia="Calibri"/>
          <w:sz w:val="22"/>
        </w:rPr>
        <w:t>, conserve ses fonctions jusqu’à la date de réalisation de la transmission universelle du patrimoine, avec mission d’accomplir les actes nécessaires à sa réalisation ; ses fonctions prendront fin à cette date.</w:t>
      </w:r>
    </w:p>
    <w:p>
      <w:pPr>
        <w:spacing w:after="240" w:before="0"/>
      </w:pPr>
      <w:r>
        <w:rPr>
          <w:rFonts w:ascii="Calibri" w:hAnsi="Calibri" w:eastAsia="Calibri"/>
          <w:b/>
          <w:sz w:val="22"/>
        </w:rPr>
        <w:t>Cette décision est prise par l’associé unique.</w:t>
      </w:r>
    </w:p>
    <w:p>
      <w:pPr>
        <w:spacing w:after="120" w:before="0"/>
      </w:pPr>
      <w:r>
        <w:rPr>
          <w:rFonts w:ascii="Calibri" w:hAnsi="Calibri" w:eastAsia="Calibri"/>
          <w:b/>
          <w:sz w:val="22"/>
        </w:rPr>
        <w:t>QUATRIÈME DÉCISION — Pouvoirs</w:t>
      </w:r>
    </w:p>
    <w:p>
      <w:pPr>
        <w:spacing w:after="80" w:before="0"/>
        <w:jc w:val="both"/>
      </w:pPr>
      <w:r>
        <w:rPr>
          <w:rFonts w:ascii="Calibri" w:hAnsi="Calibri" w:eastAsia="Calibri"/>
          <w:sz w:val="22"/>
        </w:rPr>
        <w:t xml:space="preserve">L’associé unique donne tous pouvoirs à </w:t>
      </w:r>
      <w:r>
        <w:rPr>
          <w:rFonts w:ascii="Calibri" w:hAnsi="Calibri" w:eastAsia="Calibri"/>
          <w:sz w:val="22"/>
          <w:highlight w:val="yellow"/>
        </w:rPr>
        <w:t>[son représentant légal / Prénom NOM]</w:t>
      </w:r>
      <w:r>
        <w:rPr>
          <w:rFonts w:ascii="Calibri" w:hAnsi="Calibri" w:eastAsia="Calibri"/>
          <w:sz w:val="22"/>
        </w:rPr>
        <w:t>, ainsi qu’au porteur d’un original, d’une copie ou d’un extrait de la présente décision, pour :</w:t>
      </w:r>
    </w:p>
    <w:p>
      <w:pPr>
        <w:spacing w:after="40" w:before="0"/>
        <w:jc w:val="both"/>
      </w:pPr>
      <w:r>
        <w:rPr>
          <w:rFonts w:ascii="Calibri" w:hAnsi="Calibri" w:eastAsia="Calibri"/>
          <w:sz w:val="22"/>
        </w:rPr>
        <w:t xml:space="preserve">– </w:t>
      </w:r>
      <w:r>
        <w:rPr>
          <w:rFonts w:ascii="Calibri" w:hAnsi="Calibri" w:eastAsia="Calibri"/>
          <w:sz w:val="22"/>
        </w:rPr>
        <w:t>faire publier un avis de dissolution sans liquidation dans un support habilité à recevoir les annonces légales et déclarer la dissolution sur le guichet unique des formalités d’entreprises ;</w:t>
      </w:r>
    </w:p>
    <w:p>
      <w:pPr>
        <w:spacing w:after="40" w:before="0"/>
        <w:jc w:val="both"/>
      </w:pPr>
      <w:r>
        <w:rPr>
          <w:rFonts w:ascii="Calibri" w:hAnsi="Calibri" w:eastAsia="Calibri"/>
          <w:sz w:val="22"/>
        </w:rPr>
        <w:t xml:space="preserve">– </w:t>
      </w:r>
      <w:r>
        <w:rPr>
          <w:rFonts w:ascii="Calibri" w:hAnsi="Calibri" w:eastAsia="Calibri"/>
          <w:sz w:val="22"/>
        </w:rPr>
        <w:t>à l’expiration du délai d’opposition, demander au greffier le certificat de non-opposition (C. com., art. R. 123-75) ;</w:t>
      </w:r>
    </w:p>
    <w:p>
      <w:pPr>
        <w:spacing w:after="40" w:before="0"/>
        <w:jc w:val="both"/>
      </w:pPr>
      <w:r>
        <w:rPr>
          <w:rFonts w:ascii="Calibri" w:hAnsi="Calibri" w:eastAsia="Calibri"/>
          <w:sz w:val="22"/>
        </w:rPr>
        <w:t xml:space="preserve">– </w:t>
      </w:r>
      <w:r>
        <w:rPr>
          <w:rFonts w:ascii="Calibri" w:hAnsi="Calibri" w:eastAsia="Calibri"/>
          <w:sz w:val="22"/>
        </w:rPr>
        <w:t>demander la radiation de la société dans le délai d’un mois à compter de la réalisation du transfert du patrimoine (C. com., art. R. 123-75) ;</w:t>
      </w:r>
    </w:p>
    <w:p>
      <w:pPr>
        <w:spacing w:after="200" w:before="0"/>
        <w:jc w:val="both"/>
      </w:pPr>
      <w:r>
        <w:rPr>
          <w:rFonts w:ascii="Calibri" w:hAnsi="Calibri" w:eastAsia="Calibri"/>
          <w:sz w:val="22"/>
        </w:rPr>
        <w:t xml:space="preserve">– </w:t>
      </w:r>
      <w:r>
        <w:rPr>
          <w:rFonts w:ascii="Calibri" w:hAnsi="Calibri" w:eastAsia="Calibri"/>
          <w:sz w:val="22"/>
        </w:rPr>
        <w:t>accomplir toutes démarches auprès des administrations, organismes sociaux, banques, cocontractants et services de la publicité foncière, le cas échéant.</w:t>
      </w:r>
    </w:p>
    <w:p>
      <w:pPr>
        <w:spacing w:after="240" w:before="0"/>
      </w:pPr>
      <w:r>
        <w:rPr>
          <w:rFonts w:ascii="Calibri" w:hAnsi="Calibri" w:eastAsia="Calibri"/>
          <w:b/>
          <w:sz w:val="22"/>
        </w:rPr>
        <w:t>Cette décision est prise par l’associé unique.</w:t>
      </w:r>
    </w:p>
    <w:p>
      <w:pPr>
        <w:spacing w:after="320" w:before="0"/>
        <w:jc w:val="both"/>
      </w:pPr>
      <w:r>
        <w:rPr>
          <w:rFonts w:ascii="Calibri" w:hAnsi="Calibri" w:eastAsia="Calibri"/>
          <w:sz w:val="22"/>
        </w:rPr>
        <w:t xml:space="preserve">De tout ce que dessus, il a été dressé la présente décision, consignée </w:t>
      </w:r>
      <w:r>
        <w:rPr>
          <w:rFonts w:ascii="Calibri" w:hAnsi="Calibri" w:eastAsia="Calibri"/>
          <w:sz w:val="22"/>
          <w:highlight w:val="yellow"/>
        </w:rPr>
        <w:t>[EURL / SASU : dans le registre des décisions de l’associé unique / SCI : sur le registre spécial tenu au siège de la société, coté et paraphé (décret n° 78-704 du 3 juillet 1978, art. 45 et 46)]</w:t>
      </w:r>
      <w:r>
        <w:rPr>
          <w:rFonts w:ascii="Calibri" w:hAnsi="Calibri" w:eastAsia="Calibri"/>
          <w:sz w:val="22"/>
        </w:rPr>
        <w:t>.</w:t>
      </w:r>
    </w:p>
    <w:p>
      <w:pPr>
        <w:spacing w:after="40" w:before="0"/>
      </w:pPr>
      <w:r>
        <w:rPr>
          <w:rFonts w:ascii="Calibri" w:hAnsi="Calibri" w:eastAsia="Calibri"/>
          <w:b/>
          <w:sz w:val="22"/>
        </w:rPr>
        <w:t xml:space="preserve">Pour l’associé unique, la société </w:t>
      </w:r>
      <w:r>
        <w:rPr>
          <w:rFonts w:ascii="Calibri" w:hAnsi="Calibri" w:eastAsia="Calibri"/>
          <w:b/>
          <w:sz w:val="22"/>
          <w:highlight w:val="yellow"/>
        </w:rPr>
        <w:t>[dénomination]</w:t>
      </w:r>
    </w:p>
    <w:p>
      <w:pPr>
        <w:spacing w:after="280" w:before="0"/>
      </w:pPr>
      <w:r>
        <w:rPr>
          <w:rFonts w:ascii="Calibri" w:hAnsi="Calibri" w:eastAsia="Calibri"/>
          <w:sz w:val="22"/>
          <w:highlight w:val="yellow"/>
        </w:rPr>
        <w:t>[Prénom NOM — qualité — signature]</w:t>
      </w:r>
    </w:p>
    <w:p>
      <w:pPr>
        <w:spacing w:after="40" w:before="0"/>
      </w:pPr>
      <w:r>
        <w:rPr>
          <w:rFonts w:ascii="Calibri" w:hAnsi="Calibri" w:eastAsia="Calibri"/>
          <w:b/>
          <w:sz w:val="22"/>
          <w:highlight w:val="yellow"/>
        </w:rPr>
        <w:t>[SCI : Le gérant de la société dissoute]</w:t>
      </w:r>
    </w:p>
    <w:p>
      <w:pPr>
        <w:spacing w:after="280" w:before="0"/>
      </w:pPr>
      <w:r>
        <w:rPr>
          <w:rFonts w:ascii="Calibri" w:hAnsi="Calibri" w:eastAsia="Calibri"/>
          <w:sz w:val="22"/>
          <w:highlight w:val="yellow"/>
        </w:rPr>
        <w:t>[SCI : Prénom NOM — signature (décret n° 78-704 du 3 juillet 1978, art. 44, dernier al.)]</w:t>
      </w:r>
    </w:p>
    <w:p>
      <w:r>
        <w:br w:type="page"/>
      </w:r>
    </w:p>
    <w:p>
      <w:pPr>
        <w:spacing w:after="80" w:before="0"/>
      </w:pPr>
      <w:r>
        <w:rPr>
          <w:rFonts w:ascii="Calibri" w:hAnsi="Calibri" w:eastAsia="Calibri"/>
          <w:b/>
          <w:sz w:val="24"/>
        </w:rPr>
        <w:t>ANNEXE 1 — Projet d’avis de dissolution sans liquidation</w:t>
      </w:r>
    </w:p>
    <w:p>
      <w:pPr>
        <w:spacing w:after="200" w:before="0"/>
        <w:jc w:val="both"/>
      </w:pPr>
      <w:r>
        <w:rPr>
          <w:rFonts w:ascii="Calibri" w:hAnsi="Calibri" w:eastAsia="Calibri"/>
          <w:i/>
          <w:color w:val="4B5563"/>
          <w:sz w:val="22"/>
        </w:rPr>
        <w:t>Annonce légale à publier dans un support habilité ; son prix est calculé au caractère (lecture de l’arrêté du 19 novembre 2021 modifié : ce type d’avis ne figure pas parmi les forfaits).</w:t>
      </w:r>
    </w:p>
    <w:p>
      <w:pPr>
        <w:spacing w:after="160" w:before="0"/>
        <w:jc w:val="both"/>
      </w:pPr>
      <w:r>
        <w:rPr>
          <w:rFonts w:ascii="Calibri" w:hAnsi="Calibri" w:eastAsia="Calibri"/>
          <w:b/>
          <w:sz w:val="22"/>
          <w:highlight w:val="yellow"/>
        </w:rPr>
        <w:t>[DÉNOMINATION]</w:t>
      </w:r>
      <w:r>
        <w:rPr>
          <w:rFonts w:ascii="Calibri" w:hAnsi="Calibri" w:eastAsia="Calibri"/>
          <w:sz w:val="22"/>
        </w:rPr>
        <w:t xml:space="preserve"> — </w:t>
      </w:r>
      <w:r>
        <w:rPr>
          <w:rFonts w:ascii="Calibri" w:hAnsi="Calibri" w:eastAsia="Calibri"/>
          <w:sz w:val="22"/>
          <w:highlight w:val="yellow"/>
        </w:rPr>
        <w:t>[forme]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 — Siège social : </w:t>
      </w:r>
      <w:r>
        <w:rPr>
          <w:rFonts w:ascii="Calibri" w:hAnsi="Calibri" w:eastAsia="Calibri"/>
          <w:sz w:val="22"/>
          <w:highlight w:val="yellow"/>
        </w:rPr>
        <w:t>[adresse]</w:t>
      </w:r>
      <w:r>
        <w:rPr>
          <w:rFonts w:ascii="Calibri" w:hAnsi="Calibri" w:eastAsia="Calibri"/>
          <w:sz w:val="22"/>
        </w:rPr>
        <w:t xml:space="preserve"> — </w:t>
      </w: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r>
        <w:rPr>
          <w:rFonts w:ascii="Calibri" w:hAnsi="Calibri" w:eastAsia="Calibri"/>
          <w:sz w:val="22"/>
        </w:rPr>
        <w:t>.</w:t>
      </w:r>
    </w:p>
    <w:p>
      <w:pPr>
        <w:spacing w:after="160" w:before="0"/>
        <w:jc w:val="both"/>
      </w:pPr>
      <w:r>
        <w:rPr>
          <w:rFonts w:ascii="Calibri" w:hAnsi="Calibri" w:eastAsia="Calibri"/>
          <w:sz w:val="22"/>
        </w:rPr>
        <w:t xml:space="preserve">Aux termes d’une décision du </w:t>
      </w:r>
      <w:r>
        <w:rPr>
          <w:rFonts w:ascii="Calibri" w:hAnsi="Calibri" w:eastAsia="Calibri"/>
          <w:sz w:val="22"/>
          <w:highlight w:val="yellow"/>
        </w:rPr>
        <w:t>[date]</w:t>
      </w:r>
      <w:r>
        <w:rPr>
          <w:rFonts w:ascii="Calibri" w:hAnsi="Calibri" w:eastAsia="Calibri"/>
          <w:sz w:val="22"/>
        </w:rPr>
        <w:t xml:space="preserve">, la société </w:t>
      </w:r>
      <w:r>
        <w:rPr>
          <w:rFonts w:ascii="Calibri" w:hAnsi="Calibri" w:eastAsia="Calibri"/>
          <w:sz w:val="22"/>
          <w:highlight w:val="yellow"/>
        </w:rPr>
        <w:t>[DÉNOMINATION DE L’ASSOCIÉ]</w:t>
      </w:r>
      <w:r>
        <w:rPr>
          <w:rFonts w:ascii="Calibri" w:hAnsi="Calibri" w:eastAsia="Calibri"/>
          <w:sz w:val="22"/>
        </w:rPr>
        <w:t xml:space="preserve">, </w:t>
      </w:r>
      <w:r>
        <w:rPr>
          <w:rFonts w:ascii="Calibri" w:hAnsi="Calibri" w:eastAsia="Calibri"/>
          <w:sz w:val="22"/>
          <w:highlight w:val="yellow"/>
        </w:rPr>
        <w:t>[forme]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 dont le siège est </w:t>
      </w:r>
      <w:r>
        <w:rPr>
          <w:rFonts w:ascii="Calibri" w:hAnsi="Calibri" w:eastAsia="Calibri"/>
          <w:sz w:val="22"/>
          <w:highlight w:val="yellow"/>
        </w:rPr>
        <w:t>[adresse]</w:t>
      </w:r>
      <w:r>
        <w:rPr>
          <w:rFonts w:ascii="Calibri" w:hAnsi="Calibri" w:eastAsia="Calibri"/>
          <w:sz w:val="22"/>
        </w:rPr>
        <w:t xml:space="preserve">, </w:t>
      </w: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w:t>
      </w:r>
      <w:r>
        <w:rPr>
          <w:rFonts w:ascii="Calibri" w:hAnsi="Calibri" w:eastAsia="Calibri"/>
          <w:sz w:val="22"/>
        </w:rPr>
        <w:t xml:space="preserve">, associée unique, a décidé la dissolution anticipée sans liquidation de la société </w:t>
      </w:r>
      <w:r>
        <w:rPr>
          <w:rFonts w:ascii="Calibri" w:hAnsi="Calibri" w:eastAsia="Calibri"/>
          <w:sz w:val="22"/>
          <w:highlight w:val="yellow"/>
        </w:rPr>
        <w:t>[DÉNOMINATION]</w:t>
      </w:r>
      <w:r>
        <w:rPr>
          <w:rFonts w:ascii="Calibri" w:hAnsi="Calibri" w:eastAsia="Calibri"/>
          <w:sz w:val="22"/>
        </w:rPr>
        <w:t>, entraînant la transmission universelle de son patrimoine à l’associée unique, conformément à l’article 1844-5, alinéa 3, du code civil.</w:t>
      </w:r>
    </w:p>
    <w:p>
      <w:pPr>
        <w:spacing w:after="160" w:before="0"/>
        <w:jc w:val="both"/>
      </w:pPr>
      <w:r>
        <w:rPr>
          <w:rFonts w:ascii="Calibri" w:hAnsi="Calibri" w:eastAsia="Calibri"/>
          <w:sz w:val="22"/>
        </w:rPr>
        <w:t xml:space="preserve">Les créanciers peuvent former opposition à la dissolution dans le délai de trente jours à compter de la publication de celle-ci au Bulletin officiel des annonces civiles et commerciales, </w:t>
      </w:r>
      <w:r>
        <w:rPr>
          <w:rFonts w:ascii="Calibri" w:hAnsi="Calibri" w:eastAsia="Calibri"/>
          <w:sz w:val="22"/>
          <w:highlight w:val="yellow"/>
        </w:rPr>
        <w:t>[EURL / SASU : devant le tribunal de commerce — ou le tribunal des activités économiques — du lieu du siège social de la société dissoute / SCI : devant le tribunal judiciaire du lieu du siège social de la société dissoute]</w:t>
      </w:r>
      <w:r>
        <w:rPr>
          <w:rFonts w:ascii="Calibri" w:hAnsi="Calibri" w:eastAsia="Calibri"/>
          <w:sz w:val="22"/>
        </w:rPr>
        <w:t xml:space="preserve"> </w:t>
      </w:r>
      <w:r>
        <w:rPr>
          <w:rFonts w:ascii="Calibri" w:hAnsi="Calibri" w:eastAsia="Calibri"/>
          <w:sz w:val="22"/>
          <w:highlight w:val="yellow"/>
        </w:rPr>
        <w:t>[en Alsace-Moselle, faites confirmer la juridiction compétente avant publication]</w:t>
      </w:r>
      <w:r>
        <w:rPr>
          <w:rFonts w:ascii="Calibri" w:hAnsi="Calibri" w:eastAsia="Calibri"/>
          <w:sz w:val="22"/>
        </w:rPr>
        <w:t>.</w:t>
      </w:r>
    </w:p>
    <w:p>
      <w:pPr>
        <w:spacing w:after="280" w:before="0"/>
        <w:jc w:val="both"/>
      </w:pPr>
      <w:r>
        <w:rPr>
          <w:rFonts w:ascii="Calibri" w:hAnsi="Calibri" w:eastAsia="Calibri"/>
          <w:sz w:val="22"/>
        </w:rPr>
        <w:t>Pour avis.</w:t>
      </w:r>
    </w:p>
    <w:p>
      <w:pPr>
        <w:spacing w:after="120" w:before="0"/>
      </w:pPr>
      <w:r>
        <w:rPr>
          <w:rFonts w:ascii="Calibri" w:hAnsi="Calibri" w:eastAsia="Calibri"/>
          <w:b/>
          <w:sz w:val="24"/>
        </w:rPr>
        <w:t>ANNEXE 2 — Déroulé de l’opération</w:t>
      </w:r>
    </w:p>
    <w:tbl>
      <w:tblPr>
        <w:tblStyle w:val="TableGrid"/>
        <w:tblW w:type="auto" w:w="0"/>
        <w:tblLook w:firstColumn="1" w:firstRow="1" w:lastColumn="0" w:lastRow="0" w:noHBand="0" w:noVBand="1" w:val="04A0"/>
      </w:tblPr>
      <w:tblGrid>
        <w:gridCol w:w="3211"/>
        <w:gridCol w:w="3211"/>
        <w:gridCol w:w="3211"/>
      </w:tblGrid>
      <w:tr>
        <w:tc>
          <w:tcPr>
            <w:tcW w:type="dxa" w:w="3211"/>
          </w:tcPr>
          <w:p>
            <w:pPr>
              <w:spacing w:after="0" w:before="0"/>
            </w:pPr>
            <w:r>
              <w:rPr>
                <w:rFonts w:ascii="Calibri" w:hAnsi="Calibri" w:eastAsia="Calibri"/>
                <w:b/>
                <w:sz w:val="19"/>
              </w:rPr>
              <w:t>Étape</w:t>
            </w:r>
          </w:p>
        </w:tc>
        <w:tc>
          <w:tcPr>
            <w:tcW w:type="dxa" w:w="3211"/>
          </w:tcPr>
          <w:p>
            <w:pPr>
              <w:spacing w:after="0" w:before="0"/>
            </w:pPr>
            <w:r>
              <w:rPr>
                <w:rFonts w:ascii="Calibri" w:hAnsi="Calibri" w:eastAsia="Calibri"/>
                <w:b/>
                <w:sz w:val="19"/>
              </w:rPr>
              <w:t>Ce qu’il faut faire</w:t>
            </w:r>
          </w:p>
        </w:tc>
        <w:tc>
          <w:tcPr>
            <w:tcW w:type="dxa" w:w="3211"/>
          </w:tcPr>
          <w:p>
            <w:pPr>
              <w:spacing w:after="0" w:before="0"/>
            </w:pPr>
            <w:r>
              <w:rPr>
                <w:rFonts w:ascii="Calibri" w:hAnsi="Calibri" w:eastAsia="Calibri"/>
                <w:b/>
                <w:sz w:val="19"/>
              </w:rPr>
              <w:t>Texte ou source</w:t>
            </w:r>
          </w:p>
        </w:tc>
      </w:tr>
      <w:tr>
        <w:tc>
          <w:tcPr>
            <w:tcW w:type="dxa" w:w="3211"/>
          </w:tcPr>
          <w:p>
            <w:pPr>
              <w:spacing w:after="0" w:before="0"/>
            </w:pPr>
            <w:r>
              <w:rPr>
                <w:rFonts w:ascii="Calibri" w:hAnsi="Calibri" w:eastAsia="Calibri"/>
                <w:sz w:val="19"/>
              </w:rPr>
              <w:t>1. Décision</w:t>
            </w:r>
          </w:p>
        </w:tc>
        <w:tc>
          <w:tcPr>
            <w:tcW w:type="dxa" w:w="3211"/>
          </w:tcPr>
          <w:p>
            <w:pPr>
              <w:spacing w:after="0" w:before="0"/>
            </w:pPr>
            <w:r>
              <w:rPr>
                <w:rFonts w:ascii="Calibri" w:hAnsi="Calibri" w:eastAsia="Calibri"/>
                <w:sz w:val="19"/>
              </w:rPr>
              <w:t>Décision de l’associé unique (présent acte), consignée au registre</w:t>
            </w:r>
          </w:p>
        </w:tc>
        <w:tc>
          <w:tcPr>
            <w:tcW w:type="dxa" w:w="3211"/>
          </w:tcPr>
          <w:p>
            <w:pPr>
              <w:spacing w:after="0" w:before="0"/>
            </w:pPr>
            <w:r>
              <w:rPr>
                <w:rFonts w:ascii="Calibri" w:hAnsi="Calibri" w:eastAsia="Calibri"/>
                <w:sz w:val="19"/>
              </w:rPr>
              <w:t>C. civ., art. 1844-5, al. 3</w:t>
            </w:r>
          </w:p>
        </w:tc>
      </w:tr>
      <w:tr>
        <w:tc>
          <w:tcPr>
            <w:tcW w:type="dxa" w:w="3211"/>
          </w:tcPr>
          <w:p>
            <w:pPr>
              <w:spacing w:after="0" w:before="0"/>
            </w:pPr>
            <w:r>
              <w:rPr>
                <w:rFonts w:ascii="Calibri" w:hAnsi="Calibri" w:eastAsia="Calibri"/>
                <w:sz w:val="19"/>
              </w:rPr>
              <w:t>2. Annonce légale</w:t>
            </w:r>
          </w:p>
        </w:tc>
        <w:tc>
          <w:tcPr>
            <w:tcW w:type="dxa" w:w="3211"/>
          </w:tcPr>
          <w:p>
            <w:pPr>
              <w:spacing w:after="0" w:before="0"/>
            </w:pPr>
            <w:r>
              <w:rPr>
                <w:rFonts w:ascii="Calibri" w:hAnsi="Calibri" w:eastAsia="Calibri"/>
                <w:sz w:val="19"/>
              </w:rPr>
              <w:t>Avis de dissolution sans liquidation dans un support habilité</w:t>
            </w:r>
          </w:p>
        </w:tc>
        <w:tc>
          <w:tcPr>
            <w:tcW w:type="dxa" w:w="3211"/>
          </w:tcPr>
          <w:p>
            <w:pPr>
              <w:spacing w:after="0" w:before="0"/>
            </w:pPr>
            <w:r>
              <w:rPr>
                <w:rFonts w:ascii="Calibri" w:hAnsi="Calibri" w:eastAsia="Calibri"/>
                <w:sz w:val="19"/>
              </w:rPr>
              <w:t>Service-public, F35962</w:t>
            </w:r>
          </w:p>
        </w:tc>
      </w:tr>
      <w:tr>
        <w:tc>
          <w:tcPr>
            <w:tcW w:type="dxa" w:w="3211"/>
          </w:tcPr>
          <w:p>
            <w:pPr>
              <w:spacing w:after="0" w:before="0"/>
            </w:pPr>
            <w:r>
              <w:rPr>
                <w:rFonts w:ascii="Calibri" w:hAnsi="Calibri" w:eastAsia="Calibri"/>
                <w:sz w:val="19"/>
              </w:rPr>
              <w:t>3. Guichet unique</w:t>
            </w:r>
          </w:p>
        </w:tc>
        <w:tc>
          <w:tcPr>
            <w:tcW w:type="dxa" w:w="3211"/>
          </w:tcPr>
          <w:p>
            <w:pPr>
              <w:spacing w:after="0" w:before="0"/>
            </w:pPr>
            <w:r>
              <w:rPr>
                <w:rFonts w:ascii="Calibri" w:hAnsi="Calibri" w:eastAsia="Calibri"/>
                <w:sz w:val="19"/>
              </w:rPr>
              <w:t>Déclaration de la dissolution (inscription modificative), dans le mois</w:t>
            </w:r>
          </w:p>
        </w:tc>
        <w:tc>
          <w:tcPr>
            <w:tcW w:type="dxa" w:w="3211"/>
          </w:tcPr>
          <w:p>
            <w:pPr>
              <w:spacing w:after="0" w:before="0"/>
            </w:pPr>
            <w:r>
              <w:rPr>
                <w:rFonts w:ascii="Calibri" w:hAnsi="Calibri" w:eastAsia="Calibri"/>
                <w:sz w:val="19"/>
              </w:rPr>
              <w:t>C. com., art. R. 123-66 ; décret n° 78-704, art. 8</w:t>
            </w:r>
          </w:p>
        </w:tc>
      </w:tr>
      <w:tr>
        <w:tc>
          <w:tcPr>
            <w:tcW w:type="dxa" w:w="3211"/>
          </w:tcPr>
          <w:p>
            <w:pPr>
              <w:spacing w:after="0" w:before="0"/>
            </w:pPr>
            <w:r>
              <w:rPr>
                <w:rFonts w:ascii="Calibri" w:hAnsi="Calibri" w:eastAsia="Calibri"/>
                <w:sz w:val="19"/>
              </w:rPr>
              <w:t>4. BODACC</w:t>
            </w:r>
          </w:p>
        </w:tc>
        <w:tc>
          <w:tcPr>
            <w:tcW w:type="dxa" w:w="3211"/>
          </w:tcPr>
          <w:p>
            <w:pPr>
              <w:spacing w:after="0" w:before="0"/>
            </w:pPr>
            <w:r>
              <w:rPr>
                <w:rFonts w:ascii="Calibri" w:hAnsi="Calibri" w:eastAsia="Calibri"/>
                <w:sz w:val="19"/>
              </w:rPr>
              <w:t>Publication faite à l’initiative du greffe : point de départ du délai d’opposition</w:t>
            </w:r>
          </w:p>
        </w:tc>
        <w:tc>
          <w:tcPr>
            <w:tcW w:type="dxa" w:w="3211"/>
          </w:tcPr>
          <w:p>
            <w:pPr>
              <w:spacing w:after="0" w:before="0"/>
            </w:pPr>
            <w:r>
              <w:rPr>
                <w:rFonts w:ascii="Calibri" w:hAnsi="Calibri" w:eastAsia="Calibri"/>
                <w:sz w:val="19"/>
              </w:rPr>
              <w:t>Décret n° 78-704, art. 8</w:t>
            </w:r>
          </w:p>
        </w:tc>
      </w:tr>
      <w:tr>
        <w:tc>
          <w:tcPr>
            <w:tcW w:type="dxa" w:w="3211"/>
          </w:tcPr>
          <w:p>
            <w:pPr>
              <w:spacing w:after="0" w:before="0"/>
            </w:pPr>
            <w:r>
              <w:rPr>
                <w:rFonts w:ascii="Calibri" w:hAnsi="Calibri" w:eastAsia="Calibri"/>
                <w:sz w:val="19"/>
              </w:rPr>
              <w:t>5. Trente jours</w:t>
            </w:r>
          </w:p>
        </w:tc>
        <w:tc>
          <w:tcPr>
            <w:tcW w:type="dxa" w:w="3211"/>
          </w:tcPr>
          <w:p>
            <w:pPr>
              <w:spacing w:after="0" w:before="0"/>
            </w:pPr>
            <w:r>
              <w:rPr>
                <w:rFonts w:ascii="Calibri" w:hAnsi="Calibri" w:eastAsia="Calibri"/>
                <w:sz w:val="19"/>
              </w:rPr>
              <w:t>Délai d’opposition des créanciers ; en cas d’opposition, décision de justice</w:t>
            </w:r>
          </w:p>
        </w:tc>
        <w:tc>
          <w:tcPr>
            <w:tcW w:type="dxa" w:w="3211"/>
          </w:tcPr>
          <w:p>
            <w:pPr>
              <w:spacing w:after="0" w:before="0"/>
            </w:pPr>
            <w:r>
              <w:rPr>
                <w:rFonts w:ascii="Calibri" w:hAnsi="Calibri" w:eastAsia="Calibri"/>
                <w:sz w:val="19"/>
              </w:rPr>
              <w:t>C. civ., art. 1844-5, al. 3</w:t>
            </w:r>
          </w:p>
        </w:tc>
      </w:tr>
      <w:tr>
        <w:tc>
          <w:tcPr>
            <w:tcW w:type="dxa" w:w="3211"/>
          </w:tcPr>
          <w:p>
            <w:pPr>
              <w:spacing w:after="0" w:before="0"/>
            </w:pPr>
            <w:r>
              <w:rPr>
                <w:rFonts w:ascii="Calibri" w:hAnsi="Calibri" w:eastAsia="Calibri"/>
                <w:sz w:val="19"/>
              </w:rPr>
              <w:t>6. Certificat</w:t>
            </w:r>
          </w:p>
        </w:tc>
        <w:tc>
          <w:tcPr>
            <w:tcW w:type="dxa" w:w="3211"/>
          </w:tcPr>
          <w:p>
            <w:pPr>
              <w:spacing w:after="0" w:before="0"/>
            </w:pPr>
            <w:r>
              <w:rPr>
                <w:rFonts w:ascii="Calibri" w:hAnsi="Calibri" w:eastAsia="Calibri"/>
                <w:sz w:val="19"/>
              </w:rPr>
              <w:t>Certificat de non-opposition délivré sur demande par le greffier</w:t>
            </w:r>
          </w:p>
        </w:tc>
        <w:tc>
          <w:tcPr>
            <w:tcW w:type="dxa" w:w="3211"/>
          </w:tcPr>
          <w:p>
            <w:pPr>
              <w:spacing w:after="0" w:before="0"/>
            </w:pPr>
            <w:r>
              <w:rPr>
                <w:rFonts w:ascii="Calibri" w:hAnsi="Calibri" w:eastAsia="Calibri"/>
                <w:sz w:val="19"/>
              </w:rPr>
              <w:t>C. com., art. R. 123-75</w:t>
            </w:r>
          </w:p>
        </w:tc>
      </w:tr>
      <w:tr>
        <w:tc>
          <w:tcPr>
            <w:tcW w:type="dxa" w:w="3211"/>
          </w:tcPr>
          <w:p>
            <w:pPr>
              <w:spacing w:after="0" w:before="0"/>
            </w:pPr>
            <w:r>
              <w:rPr>
                <w:rFonts w:ascii="Calibri" w:hAnsi="Calibri" w:eastAsia="Calibri"/>
                <w:sz w:val="19"/>
              </w:rPr>
              <w:t>7. Radiation</w:t>
            </w:r>
          </w:p>
        </w:tc>
        <w:tc>
          <w:tcPr>
            <w:tcW w:type="dxa" w:w="3211"/>
          </w:tcPr>
          <w:p>
            <w:pPr>
              <w:spacing w:after="0" w:before="0"/>
            </w:pPr>
            <w:r>
              <w:rPr>
                <w:rFonts w:ascii="Calibri" w:hAnsi="Calibri" w:eastAsia="Calibri"/>
                <w:sz w:val="19"/>
              </w:rPr>
              <w:t>Dans le mois de la réalisation du transfert du patrimoine</w:t>
            </w:r>
          </w:p>
        </w:tc>
        <w:tc>
          <w:tcPr>
            <w:tcW w:type="dxa" w:w="3211"/>
          </w:tcPr>
          <w:p>
            <w:pPr>
              <w:spacing w:after="0" w:before="0"/>
            </w:pPr>
            <w:r>
              <w:rPr>
                <w:rFonts w:ascii="Calibri" w:hAnsi="Calibri" w:eastAsia="Calibri"/>
                <w:sz w:val="19"/>
              </w:rPr>
              <w:t>C. com., art. R. 123-75</w:t>
            </w:r>
          </w:p>
        </w:tc>
      </w:tr>
    </w:tbl>
    <w:p>
      <w:pPr>
        <w:spacing w:after="160"/>
      </w:pP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Condition impérative : l’associé unique doit être une PERSONNE MORALE. Si l’associé unique est une personne physique, la transmission universelle est exclue : il faut dissoudre puis liquider (C. civ., art. 1844-5, dernier alinéa) — utilisez le modèle de dissolution par l’associé unique.</w:t>
      </w:r>
    </w:p>
    <w:p>
      <w:pPr>
        <w:spacing w:after="100" w:before="0"/>
        <w:jc w:val="both"/>
      </w:pPr>
      <w:r>
        <w:rPr>
          <w:rFonts w:ascii="Calibri" w:hAnsi="Calibri" w:eastAsia="Calibri"/>
          <w:color w:val="374151"/>
          <w:sz w:val="20"/>
        </w:rPr>
        <w:t>• Service-public (F35962) vise l’EURL, la SASU et la SCI dont l’associé unique est une personne morale. Assurez-vous que la personne qui signe pour l’associé unique en a le pouvoir selon les statuts de celui-ci (décision préalable de ses organes si nécessaire) et joignez ce justificatif au dossier.</w:t>
      </w:r>
    </w:p>
    <w:p>
      <w:pPr>
        <w:spacing w:after="100" w:before="0"/>
        <w:jc w:val="both"/>
      </w:pPr>
      <w:r>
        <w:rPr>
          <w:rFonts w:ascii="Calibri" w:hAnsi="Calibri" w:eastAsia="Calibri"/>
          <w:color w:val="374151"/>
          <w:sz w:val="20"/>
        </w:rPr>
        <w:t>• Registre : dans l’EURL et la SASU, les décisions de l’associé unique sont répertoriées dans un registre (C. com., art. L. 223-31 et L. 227-9). Dans une SCI, les procès-verbaux des délibérations des associés sont établis et signés par les gérants (décret n° 78-704 du 3 juillet 1978, art. 44, dernier al.) sur un registre spécial tenu au siège, coté et paraphé (même décret, art. 45) ; lorsque la décision résulte du consentement exprimé dans un acte, elle est mentionnée à sa date sur ce registre et l’acte est conservé au siège (art. 46). Pour une SCI, gardez donc le bloc de signature du gérant et la mention du registre spécial ; supprimez-les pour une EURL ou une SASU.</w:t>
      </w:r>
    </w:p>
    <w:p>
      <w:pPr>
        <w:spacing w:after="100" w:before="0"/>
        <w:jc w:val="both"/>
      </w:pPr>
      <w:r>
        <w:rPr>
          <w:rFonts w:ascii="Calibri" w:hAnsi="Calibri" w:eastAsia="Calibri"/>
          <w:color w:val="374151"/>
          <w:sz w:val="20"/>
        </w:rPr>
        <w:t>• Opposition des créanciers : trente jours à compter de la publication de la dissolution au BODACC (décret n° 78-704, art. 8). Service-public (F35962) fait courir ce délai à partir du lendemain de la publication et indique qu’en cas d’opposition le dirigeant de la société dissoute est assigné devant le tribunal de commerce ou le tribunal des activités économiques du lieu du siège social. Cette indication convient à l’EURL et à la SASU, commerciales par leur forme (C. com., art. L. 210-1), les tribunaux de commerce connaissant des contestations relatives aux sociétés commerciales (C. com., art. L. 721-3, 2°). Pour une SCI, société civile, le tribunal de commerce n’est pas désigné par ce texte : l’opposition relève en principe du tribunal judiciaire, qui connaît des affaires civiles et commerciales dont la loi n’attribue pas la connaissance à une autre juridiction (code de l’organisation judiciaire, art. L. 211-3) ; faites confirmer ce point avant de publier l’avis. En Alsace-Moselle, faites confirmer la juridiction compétente dans tous les cas. Le juge rejette l’opposition ou ordonne le remboursement des créances ou la constitution de garanties (C. civ., art. 1844-5, al. 3).</w:t>
      </w:r>
    </w:p>
    <w:p>
      <w:pPr>
        <w:spacing w:after="100" w:before="0"/>
        <w:jc w:val="both"/>
      </w:pPr>
      <w:r>
        <w:rPr>
          <w:rFonts w:ascii="Calibri" w:hAnsi="Calibri" w:eastAsia="Calibri"/>
          <w:color w:val="374151"/>
          <w:sz w:val="20"/>
        </w:rPr>
        <w:t>• Pendant le délai d’opposition, la société existe encore : elle continue d’être représentée par son dirigeant ; ne présentez pas la transmission comme acquise avant la fin de ce délai.</w:t>
      </w:r>
    </w:p>
    <w:p>
      <w:pPr>
        <w:spacing w:after="100" w:before="0"/>
        <w:jc w:val="both"/>
      </w:pPr>
      <w:r>
        <w:rPr>
          <w:rFonts w:ascii="Calibri" w:hAnsi="Calibri" w:eastAsia="Calibri"/>
          <w:color w:val="374151"/>
          <w:sz w:val="20"/>
        </w:rPr>
        <w:t>• Selon service-public (F35962), le procès-verbal de dissolution n’a pas à être enregistré auprès du service des impôts des entreprises ; certains contrats conclus en considération de la personne (cautionnement, franchise, mandat) ne sont pas transmis automatiquement. Le bail commercial est, lui, transmis à l’associé unique (C. com., art. L. 145-16, al. 2).</w:t>
      </w:r>
    </w:p>
    <w:p>
      <w:pPr>
        <w:spacing w:after="100" w:before="0"/>
        <w:jc w:val="both"/>
      </w:pPr>
      <w:r>
        <w:rPr>
          <w:rFonts w:ascii="Calibri" w:hAnsi="Calibri" w:eastAsia="Calibri"/>
          <w:color w:val="374151"/>
          <w:sz w:val="20"/>
        </w:rPr>
        <w:t>• Salariés : lorsque survient une modification dans la situation juridique de l’employeur, les contrats de travail en cours subsistent avec le nouvel employeur (C. trav., art. L. 1224-1) ; la transmission universelle conduit en principe l’associé unique à reprendre les salariés de la société dissoute, sans rupture de leurs contrats : faites confirmer ce point avant la décision. Préparez les déclarations sociales et, s’il existe un comité social et économique, faites examiner s’il doit être informé et consulté (C. trav., art. L. 2312-8, II, 2° : modification de l’organisation économique ou juridique de l’entreprise).</w:t>
      </w:r>
    </w:p>
    <w:p>
      <w:pPr>
        <w:spacing w:after="100" w:before="0"/>
        <w:jc w:val="both"/>
      </w:pPr>
      <w:r>
        <w:rPr>
          <w:rFonts w:ascii="Calibri" w:hAnsi="Calibri" w:eastAsia="Calibri"/>
          <w:color w:val="374151"/>
          <w:sz w:val="20"/>
        </w:rPr>
        <w:t>• Fiscalité : service-public (F35962) signale qu’un régime de faveur (CGI, art. 210-0 A) peut s’appliquer sous conditions, l’associé unique devant prendre des engagements dans l’acte de dissolution. Selon cette fiche, ce régime suppose notamment que la société dissoute et l’associé unique soient soumis à l’impôt sur les sociétés et que l’opération réponde à des raisons économiques, et non à un objectif exclusivement fiscal ; une SCI soumise à l’impôt sur le revenu n’en relève donc pas. À défaut de régime de faveur, la fiche indique que la dissolution est traitée comme une cessation totale d’entreprise, avec une imposition immédiate souvent très lourde. Faites chiffrer l’opération AVANT la décision.</w:t>
      </w:r>
    </w:p>
    <w:p>
      <w:pPr>
        <w:spacing w:after="100" w:before="0"/>
        <w:jc w:val="both"/>
      </w:pPr>
      <w:r>
        <w:rPr>
          <w:rFonts w:ascii="Calibri" w:hAnsi="Calibri" w:eastAsia="Calibri"/>
          <w:color w:val="374151"/>
          <w:sz w:val="20"/>
        </w:rPr>
        <w:t>• Si la société détient des immeubles, la transmission peut exiger des formalités de publicité foncière : rapprochez-vous d’un notaire.</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Conservez l’original signé au siège (registre des décisions ou registre des procès-verbaux).</w:t>
      </w:r>
    </w:p>
    <w:p>
      <w:pPr>
        <w:spacing w:after="100" w:before="0"/>
        <w:jc w:val="both"/>
      </w:pPr>
      <w:r>
        <w:rPr>
          <w:rFonts w:ascii="Calibri" w:hAnsi="Calibri" w:eastAsia="Calibri"/>
          <w:color w:val="374151"/>
          <w:sz w:val="20"/>
        </w:rPr>
        <w:t>• Ce modèle est une base de travail : il ne remplace pas un conseil adapté à la situation de la société. Faites relire l’acte par un avocat avant signature, en particulier si la société a des dettes, des salariés, des biens immobiliers, un litige en cours ou plusieurs associés en désaccord.</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Dissolution sans liquidation par l’associé unique personne morale (transmission universelle du patrimoine)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