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highlight w:val="yellow"/>
        </w:rPr>
        <w:t>[Société à responsabilité limitée à associé unique (EURL) / Société par actions simplifiée unipersonnelle (SASU)]</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PROCÈS-VERBAL DES DÉCISIONS DE L’ASSOCIÉ UNIQUE</w:t>
      </w:r>
    </w:p>
    <w:p>
      <w:pPr>
        <w:spacing w:after="40" w:before="0"/>
        <w:jc w:val="center"/>
      </w:pPr>
      <w:r>
        <w:rPr>
          <w:rFonts w:ascii="Calibri" w:hAnsi="Calibri" w:eastAsia="Calibri"/>
          <w:b/>
          <w:sz w:val="22"/>
        </w:rPr>
        <w:t xml:space="preserve">du </w:t>
      </w:r>
      <w:r>
        <w:rPr>
          <w:rFonts w:ascii="Calibri" w:hAnsi="Calibri" w:eastAsia="Calibri"/>
          <w:b/>
          <w:sz w:val="22"/>
          <w:highlight w:val="yellow"/>
        </w:rPr>
        <w:t>[date]</w:t>
      </w:r>
    </w:p>
    <w:p>
      <w:pPr>
        <w:spacing w:after="320" w:before="0"/>
        <w:jc w:val="center"/>
      </w:pPr>
      <w:r>
        <w:rPr>
          <w:rFonts w:ascii="Calibri" w:hAnsi="Calibri" w:eastAsia="Calibri"/>
          <w:b/>
          <w:sz w:val="22"/>
        </w:rPr>
        <w:t>Dissolution anticipée — Nomination du liquidateur</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au siège social,</w:t>
      </w:r>
    </w:p>
    <w:p>
      <w:pPr>
        <w:spacing w:after="160" w:before="0"/>
        <w:jc w:val="both"/>
      </w:pPr>
      <w:r>
        <w:rPr>
          <w:rFonts w:ascii="Calibri" w:hAnsi="Calibri" w:eastAsia="Calibri"/>
          <w:sz w:val="22"/>
          <w:highlight w:val="yellow"/>
        </w:rPr>
        <w:t>[Prénom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demeurant </w:t>
      </w:r>
      <w:r>
        <w:rPr>
          <w:rFonts w:ascii="Calibri" w:hAnsi="Calibri" w:eastAsia="Calibri"/>
          <w:sz w:val="22"/>
          <w:highlight w:val="yellow"/>
        </w:rPr>
        <w:t>[adresse]</w:t>
      </w:r>
      <w:r>
        <w:rPr>
          <w:rFonts w:ascii="Calibri" w:hAnsi="Calibri" w:eastAsia="Calibri"/>
          <w:sz w:val="22"/>
        </w:rPr>
        <w:t xml:space="preserve">, associé(e) unique de la société, propriétaire de la totalité des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sociales / actions]</w:t>
      </w:r>
      <w:r>
        <w:rPr>
          <w:rFonts w:ascii="Calibri" w:hAnsi="Calibri" w:eastAsia="Calibri"/>
          <w:sz w:val="22"/>
        </w:rPr>
        <w:t xml:space="preserve"> composant le capital social, agissant en lieu et place de l’assemblée des associés,</w:t>
      </w:r>
    </w:p>
    <w:p>
      <w:pPr>
        <w:spacing w:after="160" w:before="0"/>
        <w:jc w:val="both"/>
      </w:pPr>
      <w:r>
        <w:rPr>
          <w:rFonts w:ascii="Calibri" w:hAnsi="Calibri" w:eastAsia="Calibri"/>
          <w:sz w:val="22"/>
        </w:rPr>
        <w:t xml:space="preserve">après avoir pris connaissance </w:t>
      </w:r>
      <w:r>
        <w:rPr>
          <w:rFonts w:ascii="Calibri" w:hAnsi="Calibri" w:eastAsia="Calibri"/>
          <w:sz w:val="22"/>
          <w:highlight w:val="yellow"/>
        </w:rPr>
        <w:t>[de la situation de l’actif et du passif de la société arrêtée au …]</w:t>
      </w:r>
      <w:r>
        <w:rPr>
          <w:rFonts w:ascii="Calibri" w:hAnsi="Calibri" w:eastAsia="Calibri"/>
          <w:sz w:val="22"/>
        </w:rPr>
        <w:t>, et rappelé que, l’associé unique étant une personne physique, la dissolution de la société entraîne sa liquidation et non la transmission universelle de son patrimoine (C. civ., art. 1844-5, dernier alinéa),</w:t>
      </w:r>
    </w:p>
    <w:p>
      <w:pPr>
        <w:spacing w:after="80" w:before="0"/>
        <w:jc w:val="both"/>
      </w:pPr>
      <w:r>
        <w:rPr>
          <w:rFonts w:ascii="Calibri" w:hAnsi="Calibri" w:eastAsia="Calibri"/>
          <w:sz w:val="22"/>
        </w:rPr>
        <w:t>a pris les décisions suivantes, relatives à l’ordre du jour ci-après :</w:t>
      </w:r>
    </w:p>
    <w:p>
      <w:pPr>
        <w:spacing w:after="40" w:before="0"/>
        <w:jc w:val="both"/>
      </w:pPr>
      <w:r>
        <w:rPr>
          <w:rFonts w:ascii="Calibri" w:hAnsi="Calibri" w:eastAsia="Calibri"/>
          <w:sz w:val="22"/>
        </w:rPr>
        <w:t>1. Dissolution anticipée de la société et mise en liquidation amiable</w:t>
      </w:r>
    </w:p>
    <w:p>
      <w:pPr>
        <w:spacing w:after="40" w:before="0"/>
        <w:jc w:val="both"/>
      </w:pPr>
      <w:r>
        <w:rPr>
          <w:rFonts w:ascii="Calibri" w:hAnsi="Calibri" w:eastAsia="Calibri"/>
          <w:sz w:val="22"/>
        </w:rPr>
        <w:t>2. Nomination du liquidateur, pouvoirs et rémunération</w:t>
      </w:r>
    </w:p>
    <w:p>
      <w:pPr>
        <w:spacing w:after="40" w:before="0"/>
        <w:jc w:val="both"/>
      </w:pPr>
      <w:r>
        <w:rPr>
          <w:rFonts w:ascii="Calibri" w:hAnsi="Calibri" w:eastAsia="Calibri"/>
          <w:sz w:val="22"/>
        </w:rPr>
        <w:t>3. Siège de la liquidation</w:t>
      </w:r>
    </w:p>
    <w:p>
      <w:pPr>
        <w:spacing w:after="40" w:before="0"/>
        <w:jc w:val="both"/>
      </w:pPr>
      <w:r>
        <w:rPr>
          <w:rFonts w:ascii="Calibri" w:hAnsi="Calibri" w:eastAsia="Calibri"/>
          <w:sz w:val="22"/>
        </w:rPr>
        <w:t>4. Pouvoirs pour les formalités</w:t>
      </w:r>
    </w:p>
    <w:p>
      <w:pPr>
        <w:spacing w:after="200"/>
      </w:pPr>
    </w:p>
    <w:p>
      <w:pPr>
        <w:spacing w:after="120" w:before="0"/>
      </w:pPr>
      <w:r>
        <w:rPr>
          <w:rFonts w:ascii="Calibri" w:hAnsi="Calibri" w:eastAsia="Calibri"/>
          <w:b/>
          <w:sz w:val="22"/>
        </w:rPr>
        <w:t>PREMIÈRE DÉCISION — Dissolution anticipée</w:t>
      </w:r>
    </w:p>
    <w:p>
      <w:pPr>
        <w:spacing w:after="160" w:before="0"/>
        <w:jc w:val="both"/>
      </w:pPr>
      <w:r>
        <w:rPr>
          <w:rFonts w:ascii="Calibri" w:hAnsi="Calibri" w:eastAsia="Calibri"/>
          <w:sz w:val="22"/>
        </w:rPr>
        <w:t xml:space="preserve">L’associé unique décide la dissolution anticipée de la société à compter du </w:t>
      </w:r>
      <w:r>
        <w:rPr>
          <w:rFonts w:ascii="Calibri" w:hAnsi="Calibri" w:eastAsia="Calibri"/>
          <w:sz w:val="22"/>
          <w:highlight w:val="yellow"/>
        </w:rPr>
        <w:t>[date — en principe ce jour]</w:t>
      </w:r>
      <w:r>
        <w:rPr>
          <w:rFonts w:ascii="Calibri" w:hAnsi="Calibri" w:eastAsia="Calibri"/>
          <w:sz w:val="22"/>
        </w:rPr>
        <w:t xml:space="preserve"> et sa mise en liquidation amiable, </w:t>
      </w:r>
      <w:r>
        <w:rPr>
          <w:rFonts w:ascii="Calibri" w:hAnsi="Calibri" w:eastAsia="Calibri"/>
          <w:sz w:val="22"/>
          <w:highlight w:val="yellow"/>
        </w:rPr>
        <w:t>[conformément aux articles … des statuts / conformément aux articles L. 237-14 et suivants du code de commerce, les statuts ne réglant pas les modalités de la liquidation]</w:t>
      </w:r>
      <w:r>
        <w:rPr>
          <w:rFonts w:ascii="Calibri" w:hAnsi="Calibri" w:eastAsia="Calibri"/>
          <w:sz w:val="22"/>
        </w:rPr>
        <w:t>.</w:t>
      </w:r>
    </w:p>
    <w:p>
      <w:pPr>
        <w:spacing w:after="160" w:before="0"/>
        <w:jc w:val="both"/>
      </w:pPr>
      <w:r>
        <w:rPr>
          <w:rFonts w:ascii="Calibri" w:hAnsi="Calibri" w:eastAsia="Calibri"/>
          <w:sz w:val="22"/>
        </w:rPr>
        <w:t>La personnalité morale de la société subsiste pour les besoins de la liquidation jusqu’à la clôture de celle-ci. La dénomination sociale sera suivie de la mention « société en liquidation » (C. com., art. L. 237-2), qui figurera, avec le nom du liquidateur, sur tous les actes et documents destinés aux tiers (C. com., art. R. 237-1).</w:t>
      </w:r>
    </w:p>
    <w:p>
      <w:pPr>
        <w:spacing w:after="160" w:before="0"/>
        <w:jc w:val="both"/>
      </w:pPr>
      <w:r>
        <w:rPr>
          <w:rFonts w:ascii="Calibri" w:hAnsi="Calibri" w:eastAsia="Calibri"/>
          <w:sz w:val="22"/>
        </w:rPr>
        <w:t xml:space="preserve">Les fonctions de </w:t>
      </w:r>
      <w:r>
        <w:rPr>
          <w:rFonts w:ascii="Calibri" w:hAnsi="Calibri" w:eastAsia="Calibri"/>
          <w:sz w:val="22"/>
          <w:highlight w:val="yellow"/>
        </w:rPr>
        <w:t>[gérant / Président]</w:t>
      </w:r>
      <w:r>
        <w:rPr>
          <w:rFonts w:ascii="Calibri" w:hAnsi="Calibri" w:eastAsia="Calibri"/>
          <w:sz w:val="22"/>
        </w:rPr>
        <w:t xml:space="preserve"> de </w:t>
      </w:r>
      <w:r>
        <w:rPr>
          <w:rFonts w:ascii="Calibri" w:hAnsi="Calibri" w:eastAsia="Calibri"/>
          <w:sz w:val="22"/>
          <w:highlight w:val="yellow"/>
        </w:rPr>
        <w:t>[Prénom NOM]</w:t>
      </w:r>
      <w:r>
        <w:rPr>
          <w:rFonts w:ascii="Calibri" w:hAnsi="Calibri" w:eastAsia="Calibri"/>
          <w:sz w:val="22"/>
        </w:rPr>
        <w:t xml:space="preserve"> prennent fin à compter de la même date. </w:t>
      </w:r>
      <w:r>
        <w:rPr>
          <w:rFonts w:ascii="Calibri" w:hAnsi="Calibri" w:eastAsia="Calibri"/>
          <w:sz w:val="22"/>
          <w:highlight w:val="yellow"/>
        </w:rPr>
        <w:t>[Le cas échéant : la dissolution ne met pas fin aux fonctions du commissaire aux comptes (C. com., art. L. 237-16).]</w:t>
      </w:r>
    </w:p>
    <w:p>
      <w:pPr>
        <w:spacing w:after="160" w:before="0"/>
        <w:jc w:val="both"/>
      </w:pPr>
      <w:r>
        <w:rPr>
          <w:rFonts w:ascii="Calibri" w:hAnsi="Calibri" w:eastAsia="Calibri"/>
          <w:sz w:val="22"/>
          <w:highlight w:val="yellow"/>
        </w:rPr>
        <w:t>[Facultatif :]</w:t>
      </w:r>
      <w:r>
        <w:rPr>
          <w:rFonts w:ascii="Calibri" w:hAnsi="Calibri" w:eastAsia="Calibri"/>
          <w:sz w:val="22"/>
        </w:rPr>
        <w:t xml:space="preserve"> L’associé unique constate que la société n’est pas en état de cessation des paiements et que son actif doit permettre de régler l’intégralité de son passif.</w:t>
      </w:r>
    </w:p>
    <w:p>
      <w:pPr>
        <w:spacing w:after="240" w:before="0"/>
      </w:pPr>
      <w:r>
        <w:rPr>
          <w:rFonts w:ascii="Calibri" w:hAnsi="Calibri" w:eastAsia="Calibri"/>
          <w:b/>
          <w:sz w:val="22"/>
        </w:rPr>
        <w:t>Cette décision est prise par l’associé unique.</w:t>
      </w:r>
    </w:p>
    <w:p>
      <w:pPr>
        <w:spacing w:after="120" w:before="0"/>
      </w:pPr>
      <w:r>
        <w:rPr>
          <w:rFonts w:ascii="Calibri" w:hAnsi="Calibri" w:eastAsia="Calibri"/>
          <w:b/>
          <w:sz w:val="22"/>
        </w:rPr>
        <w:t>DEUXIÈME DÉCISION — Nomination du liquidateur</w:t>
      </w:r>
    </w:p>
    <w:p>
      <w:pPr>
        <w:spacing w:after="160" w:before="0"/>
        <w:jc w:val="both"/>
      </w:pPr>
      <w:r>
        <w:rPr>
          <w:rFonts w:ascii="Calibri" w:hAnsi="Calibri" w:eastAsia="Calibri"/>
          <w:sz w:val="22"/>
        </w:rPr>
        <w:t xml:space="preserve">L’associé unique nomme en qualité de liquidateur, pour une durée de </w:t>
      </w:r>
      <w:r>
        <w:rPr>
          <w:rFonts w:ascii="Calibri" w:hAnsi="Calibri" w:eastAsia="Calibri"/>
          <w:sz w:val="22"/>
          <w:highlight w:val="yellow"/>
        </w:rPr>
        <w:t>[trois ans / …]</w:t>
      </w:r>
      <w:r>
        <w:rPr>
          <w:rFonts w:ascii="Calibri" w:hAnsi="Calibri" w:eastAsia="Calibri"/>
          <w:sz w:val="22"/>
        </w:rPr>
        <w:t xml:space="preserve"> — trois ans au plus, renouvelable par décision de l’associé unique (C. com., art. L. 237-21) — :</w:t>
      </w:r>
    </w:p>
    <w:p>
      <w:pPr>
        <w:spacing w:after="160" w:before="0"/>
        <w:jc w:val="both"/>
      </w:pPr>
      <w:r>
        <w:rPr>
          <w:rFonts w:ascii="Calibri" w:hAnsi="Calibri" w:eastAsia="Calibri"/>
          <w:sz w:val="22"/>
          <w:highlight w:val="yellow"/>
        </w:rPr>
        <w:t>[lui-même / Prénom NOM, né(e) le … à …, de nationalité …, demeurant …]</w:t>
      </w:r>
      <w:r>
        <w:rPr>
          <w:rFonts w:ascii="Calibri" w:hAnsi="Calibri" w:eastAsia="Calibri"/>
          <w:sz w:val="22"/>
        </w:rPr>
        <w:t>.</w:t>
      </w:r>
    </w:p>
    <w:p>
      <w:pPr>
        <w:spacing w:after="160" w:before="0"/>
        <w:jc w:val="both"/>
      </w:pPr>
      <w:r>
        <w:rPr>
          <w:rFonts w:ascii="Calibri" w:hAnsi="Calibri" w:eastAsia="Calibri"/>
          <w:sz w:val="22"/>
        </w:rPr>
        <w:t xml:space="preserve">Le liquidateur représente la société. Il est investi des pouvoirs les plus étendus pour réaliser l’actif, même à l’amiable ; il est habilité à payer les créanciers et à répartir le solde disponible (C. com., art. L. 237-24). </w:t>
      </w:r>
      <w:r>
        <w:rPr>
          <w:rFonts w:ascii="Calibri" w:hAnsi="Calibri" w:eastAsia="Calibri"/>
          <w:sz w:val="22"/>
          <w:highlight w:val="yellow"/>
        </w:rPr>
        <w:t>[Il est autorisé, pour les besoins de la liquidation, à continuer les affaires en cours et, le cas échéant, à engager les affaires nouvelles suivantes : … / Il ne pourra continuer les affaires en cours ni en engager de nouvelles qu’avec l’autorisation préalable de l’associé unique (C. com., art. L. 237-24).]</w:t>
      </w:r>
    </w:p>
    <w:p>
      <w:pPr>
        <w:spacing w:after="160" w:before="0"/>
        <w:jc w:val="both"/>
      </w:pPr>
      <w:r>
        <w:rPr>
          <w:rFonts w:ascii="Calibri" w:hAnsi="Calibri" w:eastAsia="Calibri"/>
          <w:sz w:val="22"/>
        </w:rPr>
        <w:t xml:space="preserve">Le liquidateur exercera ses fonctions </w:t>
      </w:r>
      <w:r>
        <w:rPr>
          <w:rFonts w:ascii="Calibri" w:hAnsi="Calibri" w:eastAsia="Calibri"/>
          <w:sz w:val="22"/>
          <w:highlight w:val="yellow"/>
        </w:rPr>
        <w:t>[à titre gratuit / moyennant une rémunération de … €]</w:t>
      </w:r>
      <w:r>
        <w:rPr>
          <w:rFonts w:ascii="Calibri" w:hAnsi="Calibri" w:eastAsia="Calibri"/>
          <w:sz w:val="22"/>
        </w:rPr>
        <w:t xml:space="preserve"> et sera remboursé de ses frais sur justificatifs.</w:t>
      </w:r>
    </w:p>
    <w:p>
      <w:pPr>
        <w:spacing w:after="160" w:before="0"/>
        <w:jc w:val="both"/>
      </w:pPr>
      <w:r>
        <w:rPr>
          <w:rFonts w:ascii="Calibri" w:hAnsi="Calibri" w:eastAsia="Calibri"/>
          <w:sz w:val="22"/>
        </w:rPr>
        <w:t>Le liquidateur déclare accepter ces fonctions et n’être frappé d’aucune interdiction ou déchéance l’empêchant de les exercer (C. com., art. L. 237-4).</w:t>
      </w:r>
    </w:p>
    <w:p>
      <w:pPr>
        <w:spacing w:after="240" w:before="0"/>
      </w:pPr>
      <w:r>
        <w:rPr>
          <w:rFonts w:ascii="Calibri" w:hAnsi="Calibri" w:eastAsia="Calibri"/>
          <w:b/>
          <w:sz w:val="22"/>
        </w:rPr>
        <w:t>Cette décision est prise par l’associé unique.</w:t>
      </w:r>
    </w:p>
    <w:p>
      <w:pPr>
        <w:spacing w:after="120" w:before="0"/>
      </w:pPr>
      <w:r>
        <w:rPr>
          <w:rFonts w:ascii="Calibri" w:hAnsi="Calibri" w:eastAsia="Calibri"/>
          <w:b/>
          <w:sz w:val="22"/>
        </w:rPr>
        <w:t>TROISIÈME DÉCISION — Siège de la liquidation</w:t>
      </w:r>
    </w:p>
    <w:p>
      <w:pPr>
        <w:spacing w:after="160" w:before="0"/>
        <w:jc w:val="both"/>
      </w:pPr>
      <w:r>
        <w:rPr>
          <w:rFonts w:ascii="Calibri" w:hAnsi="Calibri" w:eastAsia="Calibri"/>
          <w:sz w:val="22"/>
        </w:rPr>
        <w:t xml:space="preserve">Le siège de la liquidation est fixé </w:t>
      </w:r>
      <w:r>
        <w:rPr>
          <w:rFonts w:ascii="Calibri" w:hAnsi="Calibri" w:eastAsia="Calibri"/>
          <w:sz w:val="22"/>
          <w:highlight w:val="yellow"/>
        </w:rPr>
        <w:t>[au siège social / à l’adresse suivante : …]</w:t>
      </w:r>
      <w:r>
        <w:rPr>
          <w:rFonts w:ascii="Calibri" w:hAnsi="Calibri" w:eastAsia="Calibri"/>
          <w:sz w:val="22"/>
        </w:rPr>
        <w:t>. C’est à cette adresse que la correspondance devra être adressée et que les actes et documents concernant la liquidation devront être notifiés (C. com., art. R. 237-2).</w:t>
      </w:r>
    </w:p>
    <w:p>
      <w:pPr>
        <w:spacing w:after="240" w:before="0"/>
      </w:pPr>
      <w:r>
        <w:rPr>
          <w:rFonts w:ascii="Calibri" w:hAnsi="Calibri" w:eastAsia="Calibri"/>
          <w:b/>
          <w:sz w:val="22"/>
        </w:rPr>
        <w:t>Cette décision est prise par l’associé unique.</w:t>
      </w:r>
    </w:p>
    <w:p>
      <w:pPr>
        <w:spacing w:after="120" w:before="0"/>
      </w:pPr>
      <w:r>
        <w:rPr>
          <w:rFonts w:ascii="Calibri" w:hAnsi="Calibri" w:eastAsia="Calibri"/>
          <w:b/>
          <w:sz w:val="22"/>
        </w:rPr>
        <w:t>QUATRIÈME DÉCISION — Pouvoirs</w:t>
      </w:r>
    </w:p>
    <w:p>
      <w:pPr>
        <w:spacing w:after="160" w:before="0"/>
        <w:jc w:val="both"/>
      </w:pPr>
      <w:r>
        <w:rPr>
          <w:rFonts w:ascii="Calibri" w:hAnsi="Calibri" w:eastAsia="Calibri"/>
          <w:sz w:val="22"/>
        </w:rPr>
        <w:t>L’associé unique donne tous pouvoirs au liquidateur, ainsi qu’au porteur d’un original, d’une copie ou d’un extrait des présentes, pour accomplir toutes formalités de publicité, de dépôt et de déclaration, notamment la publication d’un avis dans un support habilité à recevoir les annonces légales et la déclaration de la dissolution sur le guichet unique des formalités d’entreprises.</w:t>
      </w:r>
    </w:p>
    <w:p>
      <w:pPr>
        <w:spacing w:after="240" w:before="0"/>
      </w:pPr>
      <w:r>
        <w:rPr>
          <w:rFonts w:ascii="Calibri" w:hAnsi="Calibri" w:eastAsia="Calibri"/>
          <w:b/>
          <w:sz w:val="22"/>
        </w:rPr>
        <w:t>Cette décision est prise par l’associé unique.</w:t>
      </w:r>
    </w:p>
    <w:p>
      <w:pPr>
        <w:spacing w:after="320" w:before="0"/>
        <w:jc w:val="both"/>
      </w:pPr>
      <w:r>
        <w:rPr>
          <w:rFonts w:ascii="Calibri" w:hAnsi="Calibri" w:eastAsia="Calibri"/>
          <w:sz w:val="22"/>
        </w:rPr>
        <w:t>De tout ce que dessus, il a été dressé le présent procès-verbal, signé par l’associé unique et par le liquidateur, et consigné dans le registre des décisions de l’associé unique.</w:t>
      </w:r>
    </w:p>
    <w:p>
      <w:pPr>
        <w:spacing w:after="40" w:before="0"/>
      </w:pPr>
      <w:r>
        <w:rPr>
          <w:rFonts w:ascii="Calibri" w:hAnsi="Calibri" w:eastAsia="Calibri"/>
          <w:b/>
          <w:sz w:val="22"/>
        </w:rPr>
        <w:t>L’associé unique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liquidateur</w:t>
      </w:r>
    </w:p>
    <w:p>
      <w:pPr>
        <w:spacing w:after="280" w:before="0"/>
      </w:pPr>
      <w:r>
        <w:rPr>
          <w:rFonts w:ascii="Calibri" w:hAnsi="Calibri" w:eastAsia="Calibri"/>
          <w:sz w:val="22"/>
          <w:highlight w:val="yellow"/>
        </w:rPr>
        <w:t>[Prénom NOM — signature précédée de la mention « Bon pour acceptation des fonctions de liquidateur »]</w:t>
      </w:r>
    </w:p>
    <w:p>
      <w:r>
        <w:br w:type="page"/>
      </w:r>
    </w:p>
    <w:p>
      <w:pPr>
        <w:spacing w:after="80" w:before="0"/>
      </w:pPr>
      <w:r>
        <w:rPr>
          <w:rFonts w:ascii="Calibri" w:hAnsi="Calibri" w:eastAsia="Calibri"/>
          <w:b/>
          <w:sz w:val="24"/>
        </w:rPr>
        <w:t>ANNEXE — Projet d’avis à publier dans un support habilité à recevoir les annonces légales</w:t>
      </w:r>
    </w:p>
    <w:p>
      <w:pPr>
        <w:spacing w:after="200" w:before="0"/>
        <w:jc w:val="both"/>
      </w:pPr>
      <w:r>
        <w:rPr>
          <w:rFonts w:ascii="Calibri" w:hAnsi="Calibri" w:eastAsia="Calibri"/>
          <w:i/>
          <w:color w:val="4B5563"/>
          <w:sz w:val="22"/>
        </w:rPr>
        <w:t>À publier dans le délai d’un mois, dans un support habilité du département du siège social (C. com., art. R. 237-2). L’avis doit contenir les indications de ce texte, reprises ci-dessous : dénomination et, le cas échéant, sigle ; forme suivie de la mention « en liquidation » ; capital ; adresse du siège ; numéro unique d’identification et mention RCS suivie de la ville du greffe ; cause de la liquidation ; nom, prénom usuel et domicile des liquidateurs ; le cas échéant, limitations de leurs pouvoirs ; lieu de la correspondance et de la notification des actes ; tribunal au greffe duquel les actes et pièces de la liquidation sont déposés. La date de la décision et sa date d’effet sont ajoutées pour la clarté de l’avis.</w:t>
      </w:r>
    </w:p>
    <w:p>
      <w:pPr>
        <w:spacing w:after="160" w:before="0"/>
        <w:jc w:val="both"/>
      </w:pPr>
      <w:r>
        <w:rPr>
          <w:rFonts w:ascii="Calibri" w:hAnsi="Calibri" w:eastAsia="Calibri"/>
          <w:b/>
          <w:sz w:val="22"/>
          <w:highlight w:val="yellow"/>
        </w:rPr>
        <w:t>[DÉNOMINATION]</w:t>
      </w:r>
      <w:r>
        <w:rPr>
          <w:rFonts w:ascii="Calibri" w:hAnsi="Calibri" w:eastAsia="Calibri"/>
          <w:sz w:val="22"/>
        </w:rPr>
        <w:t xml:space="preserve"> </w:t>
      </w:r>
      <w:r>
        <w:rPr>
          <w:rFonts w:ascii="Calibri" w:hAnsi="Calibri" w:eastAsia="Calibri"/>
          <w:sz w:val="22"/>
          <w:highlight w:val="yellow"/>
        </w:rPr>
        <w:t>[sigle éventuel]</w:t>
      </w:r>
      <w:r>
        <w:rPr>
          <w:rFonts w:ascii="Calibri" w:hAnsi="Calibri" w:eastAsia="Calibri"/>
          <w:sz w:val="22"/>
        </w:rPr>
        <w:t xml:space="preserve"> — </w:t>
      </w:r>
      <w:r>
        <w:rPr>
          <w:rFonts w:ascii="Calibri" w:hAnsi="Calibri" w:eastAsia="Calibri"/>
          <w:sz w:val="22"/>
          <w:highlight w:val="yellow"/>
        </w:rPr>
        <w:t>[forme de la société]</w:t>
      </w:r>
      <w:r>
        <w:rPr>
          <w:rFonts w:ascii="Calibri" w:hAnsi="Calibri" w:eastAsia="Calibri"/>
          <w:sz w:val="22"/>
        </w:rPr>
        <w:t xml:space="preserve"> en liquidation au capital de </w:t>
      </w:r>
      <w:r>
        <w:rPr>
          <w:rFonts w:ascii="Calibri" w:hAnsi="Calibri" w:eastAsia="Calibri"/>
          <w:sz w:val="22"/>
          <w:highlight w:val="yellow"/>
        </w:rPr>
        <w:t>[montant]</w:t>
      </w:r>
      <w:r>
        <w:rPr>
          <w:rFonts w:ascii="Calibri" w:hAnsi="Calibri" w:eastAsia="Calibri"/>
          <w:sz w:val="22"/>
        </w:rPr>
        <w:t xml:space="preserve"> € — Siège social :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r>
        <w:rPr>
          <w:rFonts w:ascii="Calibri" w:hAnsi="Calibri" w:eastAsia="Calibri"/>
          <w:sz w:val="22"/>
        </w:rPr>
        <w:t>.</w:t>
      </w:r>
    </w:p>
    <w:p>
      <w:pPr>
        <w:spacing w:after="160" w:before="0"/>
        <w:jc w:val="both"/>
      </w:pPr>
      <w:r>
        <w:rPr>
          <w:rFonts w:ascii="Calibri" w:hAnsi="Calibri" w:eastAsia="Calibri"/>
          <w:sz w:val="22"/>
        </w:rPr>
        <w:t xml:space="preserve">Aux termes </w:t>
      </w:r>
      <w:r>
        <w:rPr>
          <w:rFonts w:ascii="Calibri" w:hAnsi="Calibri" w:eastAsia="Calibri"/>
          <w:sz w:val="22"/>
          <w:highlight w:val="yellow"/>
        </w:rPr>
        <w:t>[d’une décision de l’associé unique]</w:t>
      </w:r>
      <w:r>
        <w:rPr>
          <w:rFonts w:ascii="Calibri" w:hAnsi="Calibri" w:eastAsia="Calibri"/>
          <w:sz w:val="22"/>
        </w:rPr>
        <w:t xml:space="preserve"> du </w:t>
      </w:r>
      <w:r>
        <w:rPr>
          <w:rFonts w:ascii="Calibri" w:hAnsi="Calibri" w:eastAsia="Calibri"/>
          <w:sz w:val="22"/>
          <w:highlight w:val="yellow"/>
        </w:rPr>
        <w:t>[date]</w:t>
      </w:r>
      <w:r>
        <w:rPr>
          <w:rFonts w:ascii="Calibri" w:hAnsi="Calibri" w:eastAsia="Calibri"/>
          <w:sz w:val="22"/>
        </w:rPr>
        <w:t xml:space="preserve">, il a été décidé la dissolution anticipée de la société à compter du </w:t>
      </w:r>
      <w:r>
        <w:rPr>
          <w:rFonts w:ascii="Calibri" w:hAnsi="Calibri" w:eastAsia="Calibri"/>
          <w:sz w:val="22"/>
          <w:highlight w:val="yellow"/>
        </w:rPr>
        <w:t>[date]</w:t>
      </w:r>
      <w:r>
        <w:rPr>
          <w:rFonts w:ascii="Calibri" w:hAnsi="Calibri" w:eastAsia="Calibri"/>
          <w:sz w:val="22"/>
        </w:rPr>
        <w:t xml:space="preserve"> et sa mise en liquidation amiable. Cause de la liquidation : dissolution anticipée décidée par </w:t>
      </w:r>
      <w:r>
        <w:rPr>
          <w:rFonts w:ascii="Calibri" w:hAnsi="Calibri" w:eastAsia="Calibri"/>
          <w:sz w:val="22"/>
          <w:highlight w:val="yellow"/>
        </w:rPr>
        <w:t>[les associés / l’associé unique]</w:t>
      </w:r>
      <w:r>
        <w:rPr>
          <w:rFonts w:ascii="Calibri" w:hAnsi="Calibri" w:eastAsia="Calibri"/>
          <w:sz w:val="22"/>
        </w:rPr>
        <w:t>.</w:t>
      </w:r>
    </w:p>
    <w:p>
      <w:pPr>
        <w:spacing w:after="160" w:before="0"/>
        <w:jc w:val="both"/>
      </w:pPr>
      <w:r>
        <w:rPr>
          <w:rFonts w:ascii="Calibri" w:hAnsi="Calibri" w:eastAsia="Calibri"/>
          <w:sz w:val="22"/>
        </w:rPr>
        <w:t xml:space="preserve">Liquidateur : </w:t>
      </w:r>
      <w:r>
        <w:rPr>
          <w:rFonts w:ascii="Calibri" w:hAnsi="Calibri" w:eastAsia="Calibri"/>
          <w:sz w:val="22"/>
          <w:highlight w:val="yellow"/>
        </w:rPr>
        <w:t>[Prénom usuel NOM]</w:t>
      </w:r>
      <w:r>
        <w:rPr>
          <w:rFonts w:ascii="Calibri" w:hAnsi="Calibri" w:eastAsia="Calibri"/>
          <w:sz w:val="22"/>
        </w:rPr>
        <w:t xml:space="preserve">, demeurant </w:t>
      </w:r>
      <w:r>
        <w:rPr>
          <w:rFonts w:ascii="Calibri" w:hAnsi="Calibri" w:eastAsia="Calibri"/>
          <w:sz w:val="22"/>
          <w:highlight w:val="yellow"/>
        </w:rPr>
        <w:t>[domicile]</w:t>
      </w:r>
      <w:r>
        <w:rPr>
          <w:rFonts w:ascii="Calibri" w:hAnsi="Calibri" w:eastAsia="Calibri"/>
          <w:sz w:val="22"/>
        </w:rPr>
        <w:t xml:space="preserve">. </w:t>
      </w:r>
      <w:r>
        <w:rPr>
          <w:rFonts w:ascii="Calibri" w:hAnsi="Calibri" w:eastAsia="Calibri"/>
          <w:sz w:val="22"/>
          <w:highlight w:val="yellow"/>
        </w:rPr>
        <w:t>[Le cas échéant : limitations apportées à ses pouvoirs : …]</w:t>
      </w:r>
    </w:p>
    <w:p>
      <w:pPr>
        <w:spacing w:after="160" w:before="0"/>
        <w:jc w:val="both"/>
      </w:pPr>
      <w:r>
        <w:rPr>
          <w:rFonts w:ascii="Calibri" w:hAnsi="Calibri" w:eastAsia="Calibri"/>
          <w:sz w:val="22"/>
        </w:rPr>
        <w:t xml:space="preserve">Le siège de la liquidation est fixé </w:t>
      </w:r>
      <w:r>
        <w:rPr>
          <w:rFonts w:ascii="Calibri" w:hAnsi="Calibri" w:eastAsia="Calibri"/>
          <w:sz w:val="22"/>
          <w:highlight w:val="yellow"/>
        </w:rPr>
        <w:t>[adresse]</w:t>
      </w:r>
      <w:r>
        <w:rPr>
          <w:rFonts w:ascii="Calibri" w:hAnsi="Calibri" w:eastAsia="Calibri"/>
          <w:sz w:val="22"/>
        </w:rPr>
        <w:t>. C’est à cette adresse que la correspondance doit être adressée et que les actes et documents concernant la liquidation doivent être notifiés.</w:t>
      </w:r>
    </w:p>
    <w:p>
      <w:pPr>
        <w:spacing w:after="160" w:before="0"/>
        <w:jc w:val="both"/>
      </w:pPr>
      <w:r>
        <w:rPr>
          <w:rFonts w:ascii="Calibri" w:hAnsi="Calibri" w:eastAsia="Calibri"/>
          <w:sz w:val="22"/>
        </w:rPr>
        <w:t xml:space="preserve">Les actes et pièces relatifs à la liquidation seront déposés au greffe </w:t>
      </w:r>
      <w:r>
        <w:rPr>
          <w:rFonts w:ascii="Calibri" w:hAnsi="Calibri" w:eastAsia="Calibri"/>
          <w:sz w:val="22"/>
          <w:highlight w:val="yellow"/>
        </w:rPr>
        <w:t>[du tribunal qui tient le registre de la société, tel qu’indiqué sur son extrait d’immatriculation]</w:t>
      </w:r>
      <w:r>
        <w:rPr>
          <w:rFonts w:ascii="Calibri" w:hAnsi="Calibri" w:eastAsia="Calibri"/>
          <w:sz w:val="22"/>
        </w:rPr>
        <w:t xml:space="preserve"> de </w:t>
      </w:r>
      <w:r>
        <w:rPr>
          <w:rFonts w:ascii="Calibri" w:hAnsi="Calibri" w:eastAsia="Calibri"/>
          <w:sz w:val="22"/>
          <w:highlight w:val="yellow"/>
        </w:rPr>
        <w:t>[ville]</w:t>
      </w:r>
      <w:r>
        <w:rPr>
          <w:rFonts w:ascii="Calibri" w:hAnsi="Calibri" w:eastAsia="Calibri"/>
          <w:sz w:val="22"/>
        </w:rPr>
        <w:t>.</w:t>
      </w:r>
    </w:p>
    <w:p>
      <w:pPr>
        <w:spacing w:after="280" w:before="0"/>
        <w:jc w:val="both"/>
      </w:pPr>
      <w:r>
        <w:rPr>
          <w:rFonts w:ascii="Calibri" w:hAnsi="Calibri" w:eastAsia="Calibri"/>
          <w:sz w:val="22"/>
        </w:rPr>
        <w:t>Pour avis, le liquidateur.</w:t>
      </w:r>
    </w:p>
    <w:p>
      <w:pPr>
        <w:spacing w:after="120" w:before="0"/>
      </w:pPr>
      <w:r>
        <w:rPr>
          <w:rFonts w:ascii="Calibri" w:hAnsi="Calibri" w:eastAsia="Calibri"/>
          <w:b/>
          <w:sz w:val="24"/>
        </w:rPr>
        <w:t>ANNEXE — Calendrier indicatif de la liquidation amiable</w:t>
      </w:r>
    </w:p>
    <w:tbl>
      <w:tblPr>
        <w:tblStyle w:val="TableGrid"/>
        <w:tblW w:type="auto" w:w="0"/>
        <w:tblLook w:firstColumn="1" w:firstRow="1" w:lastColumn="0" w:lastRow="0" w:noHBand="0" w:noVBand="1" w:val="04A0"/>
      </w:tblPr>
      <w:tblGrid>
        <w:gridCol w:w="3211"/>
        <w:gridCol w:w="3211"/>
        <w:gridCol w:w="3211"/>
      </w:tblGrid>
      <w:tr>
        <w:tc>
          <w:tcPr>
            <w:tcW w:type="dxa" w:w="3211"/>
          </w:tcPr>
          <w:p>
            <w:pPr>
              <w:spacing w:after="0" w:before="0"/>
            </w:pPr>
            <w:r>
              <w:rPr>
                <w:rFonts w:ascii="Calibri" w:hAnsi="Calibri" w:eastAsia="Calibri"/>
                <w:b/>
                <w:sz w:val="19"/>
              </w:rPr>
              <w:t>Quand</w:t>
            </w:r>
          </w:p>
        </w:tc>
        <w:tc>
          <w:tcPr>
            <w:tcW w:type="dxa" w:w="3211"/>
          </w:tcPr>
          <w:p>
            <w:pPr>
              <w:spacing w:after="0" w:before="0"/>
            </w:pPr>
            <w:r>
              <w:rPr>
                <w:rFonts w:ascii="Calibri" w:hAnsi="Calibri" w:eastAsia="Calibri"/>
                <w:b/>
                <w:sz w:val="19"/>
              </w:rPr>
              <w:t>Quoi</w:t>
            </w:r>
          </w:p>
        </w:tc>
        <w:tc>
          <w:tcPr>
            <w:tcW w:type="dxa" w:w="3211"/>
          </w:tcPr>
          <w:p>
            <w:pPr>
              <w:spacing w:after="0" w:before="0"/>
            </w:pPr>
            <w:r>
              <w:rPr>
                <w:rFonts w:ascii="Calibri" w:hAnsi="Calibri" w:eastAsia="Calibri"/>
                <w:b/>
                <w:sz w:val="19"/>
              </w:rPr>
              <w:t>Texte</w:t>
            </w:r>
          </w:p>
        </w:tc>
      </w:tr>
      <w:tr>
        <w:tc>
          <w:tcPr>
            <w:tcW w:type="dxa" w:w="3211"/>
          </w:tcPr>
          <w:p>
            <w:pPr>
              <w:spacing w:after="0" w:before="0"/>
            </w:pPr>
            <w:r>
              <w:rPr>
                <w:rFonts w:ascii="Calibri" w:hAnsi="Calibri" w:eastAsia="Calibri"/>
                <w:sz w:val="19"/>
              </w:rPr>
              <w:t>Dans le mois de la décision</w:t>
            </w:r>
          </w:p>
        </w:tc>
        <w:tc>
          <w:tcPr>
            <w:tcW w:type="dxa" w:w="3211"/>
          </w:tcPr>
          <w:p>
            <w:pPr>
              <w:spacing w:after="0" w:before="0"/>
            </w:pPr>
            <w:r>
              <w:rPr>
                <w:rFonts w:ascii="Calibri" w:hAnsi="Calibri" w:eastAsia="Calibri"/>
                <w:sz w:val="19"/>
              </w:rPr>
              <w:t>Publication de l’acte de nomination du liquidateur dans un support d’annonces légales</w:t>
            </w:r>
          </w:p>
        </w:tc>
        <w:tc>
          <w:tcPr>
            <w:tcW w:type="dxa" w:w="3211"/>
          </w:tcPr>
          <w:p>
            <w:pPr>
              <w:spacing w:after="0" w:before="0"/>
            </w:pPr>
            <w:r>
              <w:rPr>
                <w:rFonts w:ascii="Calibri" w:hAnsi="Calibri" w:eastAsia="Calibri"/>
                <w:sz w:val="19"/>
              </w:rPr>
              <w:t>C. com., art. R. 237-2</w:t>
            </w:r>
          </w:p>
        </w:tc>
      </w:tr>
      <w:tr>
        <w:tc>
          <w:tcPr>
            <w:tcW w:type="dxa" w:w="3211"/>
          </w:tcPr>
          <w:p>
            <w:pPr>
              <w:spacing w:after="0" w:before="0"/>
            </w:pPr>
            <w:r>
              <w:rPr>
                <w:rFonts w:ascii="Calibri" w:hAnsi="Calibri" w:eastAsia="Calibri"/>
                <w:sz w:val="19"/>
              </w:rPr>
              <w:t>Avec la publication</w:t>
            </w:r>
          </w:p>
        </w:tc>
        <w:tc>
          <w:tcPr>
            <w:tcW w:type="dxa" w:w="3211"/>
          </w:tcPr>
          <w:p>
            <w:pPr>
              <w:spacing w:after="0" w:before="0"/>
            </w:pPr>
            <w:r>
              <w:rPr>
                <w:rFonts w:ascii="Calibri" w:hAnsi="Calibri" w:eastAsia="Calibri"/>
                <w:sz w:val="19"/>
              </w:rPr>
              <w:t>SAS ou SASU : à la diligence du liquidateur, porter les mêmes indications que l’avis, par simple lettre, à la connaissance des porteurs d’actions et d’obligations nominatives (le texte ne fixe pas de délai)</w:t>
            </w:r>
          </w:p>
        </w:tc>
        <w:tc>
          <w:tcPr>
            <w:tcW w:type="dxa" w:w="3211"/>
          </w:tcPr>
          <w:p>
            <w:pPr>
              <w:spacing w:after="0" w:before="0"/>
            </w:pPr>
            <w:r>
              <w:rPr>
                <w:rFonts w:ascii="Calibri" w:hAnsi="Calibri" w:eastAsia="Calibri"/>
                <w:sz w:val="19"/>
              </w:rPr>
              <w:t>C. com., art. R. 237-2, dernier al.</w:t>
            </w:r>
          </w:p>
        </w:tc>
      </w:tr>
      <w:tr>
        <w:tc>
          <w:tcPr>
            <w:tcW w:type="dxa" w:w="3211"/>
          </w:tcPr>
          <w:p>
            <w:pPr>
              <w:spacing w:after="0" w:before="0"/>
            </w:pPr>
            <w:r>
              <w:rPr>
                <w:rFonts w:ascii="Calibri" w:hAnsi="Calibri" w:eastAsia="Calibri"/>
                <w:sz w:val="19"/>
              </w:rPr>
              <w:t>Dans le mois de la décision</w:t>
            </w:r>
          </w:p>
        </w:tc>
        <w:tc>
          <w:tcPr>
            <w:tcW w:type="dxa" w:w="3211"/>
          </w:tcPr>
          <w:p>
            <w:pPr>
              <w:spacing w:after="0" w:before="0"/>
            </w:pPr>
            <w:r>
              <w:rPr>
                <w:rFonts w:ascii="Calibri" w:hAnsi="Calibri" w:eastAsia="Calibri"/>
                <w:sz w:val="19"/>
              </w:rPr>
              <w:t>Déclaration de la dissolution au guichet unique (inscription modificative)</w:t>
            </w:r>
          </w:p>
        </w:tc>
        <w:tc>
          <w:tcPr>
            <w:tcW w:type="dxa" w:w="3211"/>
          </w:tcPr>
          <w:p>
            <w:pPr>
              <w:spacing w:after="0" w:before="0"/>
            </w:pPr>
            <w:r>
              <w:rPr>
                <w:rFonts w:ascii="Calibri" w:hAnsi="Calibri" w:eastAsia="Calibri"/>
                <w:sz w:val="19"/>
              </w:rPr>
              <w:t>C. com., art. R. 123-66 et R. 123-263, 5°</w:t>
            </w:r>
          </w:p>
        </w:tc>
      </w:tr>
      <w:tr>
        <w:tc>
          <w:tcPr>
            <w:tcW w:type="dxa" w:w="3211"/>
          </w:tcPr>
          <w:p>
            <w:pPr>
              <w:spacing w:after="0" w:before="0"/>
            </w:pPr>
            <w:r>
              <w:rPr>
                <w:rFonts w:ascii="Calibri" w:hAnsi="Calibri" w:eastAsia="Calibri"/>
                <w:sz w:val="19"/>
              </w:rPr>
              <w:t>Dès la dissolution</w:t>
            </w:r>
          </w:p>
        </w:tc>
        <w:tc>
          <w:tcPr>
            <w:tcW w:type="dxa" w:w="3211"/>
          </w:tcPr>
          <w:p>
            <w:pPr>
              <w:spacing w:after="0" w:before="0"/>
            </w:pPr>
            <w:r>
              <w:rPr>
                <w:rFonts w:ascii="Calibri" w:hAnsi="Calibri" w:eastAsia="Calibri"/>
                <w:sz w:val="19"/>
              </w:rPr>
              <w:t>Mention « société en liquidation » et nom du liquidateur sur tous les documents destinés aux tiers</w:t>
            </w:r>
          </w:p>
        </w:tc>
        <w:tc>
          <w:tcPr>
            <w:tcW w:type="dxa" w:w="3211"/>
          </w:tcPr>
          <w:p>
            <w:pPr>
              <w:spacing w:after="0" w:before="0"/>
            </w:pPr>
            <w:r>
              <w:rPr>
                <w:rFonts w:ascii="Calibri" w:hAnsi="Calibri" w:eastAsia="Calibri"/>
                <w:sz w:val="19"/>
              </w:rPr>
              <w:t>C. com., art. L. 237-2 et R. 237-1</w:t>
            </w:r>
          </w:p>
        </w:tc>
      </w:tr>
      <w:tr>
        <w:tc>
          <w:tcPr>
            <w:tcW w:type="dxa" w:w="3211"/>
          </w:tcPr>
          <w:p>
            <w:pPr>
              <w:spacing w:after="0" w:before="0"/>
            </w:pPr>
            <w:r>
              <w:rPr>
                <w:rFonts w:ascii="Calibri" w:hAnsi="Calibri" w:eastAsia="Calibri"/>
                <w:sz w:val="19"/>
              </w:rPr>
              <w:t>Dans les six mois de la nomination</w:t>
            </w:r>
          </w:p>
        </w:tc>
        <w:tc>
          <w:tcPr>
            <w:tcW w:type="dxa" w:w="3211"/>
          </w:tcPr>
          <w:p>
            <w:pPr>
              <w:spacing w:after="0" w:before="0"/>
            </w:pPr>
            <w:r>
              <w:rPr>
                <w:rFonts w:ascii="Calibri" w:hAnsi="Calibri" w:eastAsia="Calibri"/>
                <w:sz w:val="19"/>
              </w:rPr>
              <w:t>Rapport du liquidateur à l’associé unique, qui statue au lieu et place de l’assemblée, sur l’actif, le passif, la poursuite des opérations et le délai nécessaire</w:t>
            </w:r>
          </w:p>
        </w:tc>
        <w:tc>
          <w:tcPr>
            <w:tcW w:type="dxa" w:w="3211"/>
          </w:tcPr>
          <w:p>
            <w:pPr>
              <w:spacing w:after="0" w:before="0"/>
            </w:pPr>
            <w:r>
              <w:rPr>
                <w:rFonts w:ascii="Calibri" w:hAnsi="Calibri" w:eastAsia="Calibri"/>
                <w:sz w:val="19"/>
              </w:rPr>
              <w:t>C. com., art. L. 237-23</w:t>
            </w:r>
          </w:p>
        </w:tc>
      </w:tr>
      <w:tr>
        <w:tc>
          <w:tcPr>
            <w:tcW w:type="dxa" w:w="3211"/>
          </w:tcPr>
          <w:p>
            <w:pPr>
              <w:spacing w:after="0" w:before="0"/>
            </w:pPr>
            <w:r>
              <w:rPr>
                <w:rFonts w:ascii="Calibri" w:hAnsi="Calibri" w:eastAsia="Calibri"/>
                <w:sz w:val="19"/>
              </w:rPr>
              <w:t>Chaque exercice</w:t>
            </w:r>
          </w:p>
        </w:tc>
        <w:tc>
          <w:tcPr>
            <w:tcW w:type="dxa" w:w="3211"/>
          </w:tcPr>
          <w:p>
            <w:pPr>
              <w:spacing w:after="0" w:before="0"/>
            </w:pPr>
            <w:r>
              <w:rPr>
                <w:rFonts w:ascii="Calibri" w:hAnsi="Calibri" w:eastAsia="Calibri"/>
                <w:sz w:val="19"/>
              </w:rPr>
              <w:t>Comptes annuels et rapport écrit dans les trois mois de la clôture ; décision de l’associé unique dans les six mois</w:t>
            </w:r>
          </w:p>
        </w:tc>
        <w:tc>
          <w:tcPr>
            <w:tcW w:type="dxa" w:w="3211"/>
          </w:tcPr>
          <w:p>
            <w:pPr>
              <w:spacing w:after="0" w:before="0"/>
            </w:pPr>
            <w:r>
              <w:rPr>
                <w:rFonts w:ascii="Calibri" w:hAnsi="Calibri" w:eastAsia="Calibri"/>
                <w:sz w:val="19"/>
              </w:rPr>
              <w:t>C. com., art. L. 237-25</w:t>
            </w:r>
          </w:p>
        </w:tc>
      </w:tr>
      <w:tr>
        <w:tc>
          <w:tcPr>
            <w:tcW w:type="dxa" w:w="3211"/>
          </w:tcPr>
          <w:p>
            <w:pPr>
              <w:spacing w:after="0" w:before="0"/>
            </w:pPr>
            <w:r>
              <w:rPr>
                <w:rFonts w:ascii="Calibri" w:hAnsi="Calibri" w:eastAsia="Calibri"/>
                <w:sz w:val="19"/>
              </w:rPr>
              <w:t>Fin de liquidation</w:t>
            </w:r>
          </w:p>
        </w:tc>
        <w:tc>
          <w:tcPr>
            <w:tcW w:type="dxa" w:w="3211"/>
          </w:tcPr>
          <w:p>
            <w:pPr>
              <w:spacing w:after="0" w:before="0"/>
            </w:pPr>
            <w:r>
              <w:rPr>
                <w:rFonts w:ascii="Calibri" w:hAnsi="Calibri" w:eastAsia="Calibri"/>
                <w:sz w:val="19"/>
              </w:rPr>
              <w:t>Décision de clôture de l’associé unique : compte définitif, quitus, décharge, constat de la clôture</w:t>
            </w:r>
          </w:p>
        </w:tc>
        <w:tc>
          <w:tcPr>
            <w:tcW w:type="dxa" w:w="3211"/>
          </w:tcPr>
          <w:p>
            <w:pPr>
              <w:spacing w:after="0" w:before="0"/>
            </w:pPr>
            <w:r>
              <w:rPr>
                <w:rFonts w:ascii="Calibri" w:hAnsi="Calibri" w:eastAsia="Calibri"/>
                <w:sz w:val="19"/>
              </w:rPr>
              <w:t>C. com., art. L. 237-9</w:t>
            </w:r>
          </w:p>
        </w:tc>
      </w:tr>
      <w:tr>
        <w:tc>
          <w:tcPr>
            <w:tcW w:type="dxa" w:w="3211"/>
          </w:tcPr>
          <w:p>
            <w:pPr>
              <w:spacing w:after="0" w:before="0"/>
            </w:pPr>
            <w:r>
              <w:rPr>
                <w:rFonts w:ascii="Calibri" w:hAnsi="Calibri" w:eastAsia="Calibri"/>
                <w:sz w:val="19"/>
              </w:rPr>
              <w:t>Après la clôture</w:t>
            </w:r>
          </w:p>
        </w:tc>
        <w:tc>
          <w:tcPr>
            <w:tcW w:type="dxa" w:w="3211"/>
          </w:tcPr>
          <w:p>
            <w:pPr>
              <w:spacing w:after="0" w:before="0"/>
            </w:pPr>
            <w:r>
              <w:rPr>
                <w:rFonts w:ascii="Calibri" w:hAnsi="Calibri" w:eastAsia="Calibri"/>
                <w:sz w:val="19"/>
              </w:rPr>
              <w:t>Dépôt des comptes définitifs, de la décision, de l’attestation de vigilance et du certificat fiscal ; avis de clôture</w:t>
            </w:r>
          </w:p>
        </w:tc>
        <w:tc>
          <w:tcPr>
            <w:tcW w:type="dxa" w:w="3211"/>
          </w:tcPr>
          <w:p>
            <w:pPr>
              <w:spacing w:after="0" w:before="0"/>
            </w:pPr>
            <w:r>
              <w:rPr>
                <w:rFonts w:ascii="Calibri" w:hAnsi="Calibri" w:eastAsia="Calibri"/>
                <w:sz w:val="19"/>
              </w:rPr>
              <w:t>C. com., art. R. 237-7 et R. 237-8</w:t>
            </w:r>
          </w:p>
        </w:tc>
      </w:tr>
      <w:tr>
        <w:tc>
          <w:tcPr>
            <w:tcW w:type="dxa" w:w="3211"/>
          </w:tcPr>
          <w:p>
            <w:pPr>
              <w:spacing w:after="0" w:before="0"/>
            </w:pPr>
            <w:r>
              <w:rPr>
                <w:rFonts w:ascii="Calibri" w:hAnsi="Calibri" w:eastAsia="Calibri"/>
                <w:sz w:val="19"/>
              </w:rPr>
              <w:t>Dans le mois de la publication de la clôture</w:t>
            </w:r>
          </w:p>
        </w:tc>
        <w:tc>
          <w:tcPr>
            <w:tcW w:type="dxa" w:w="3211"/>
          </w:tcPr>
          <w:p>
            <w:pPr>
              <w:spacing w:after="0" w:before="0"/>
            </w:pPr>
            <w:r>
              <w:rPr>
                <w:rFonts w:ascii="Calibri" w:hAnsi="Calibri" w:eastAsia="Calibri"/>
                <w:sz w:val="19"/>
              </w:rPr>
              <w:t>Demande de radiation</w:t>
            </w:r>
          </w:p>
        </w:tc>
        <w:tc>
          <w:tcPr>
            <w:tcW w:type="dxa" w:w="3211"/>
          </w:tcPr>
          <w:p>
            <w:pPr>
              <w:spacing w:after="0" w:before="0"/>
            </w:pPr>
            <w:r>
              <w:rPr>
                <w:rFonts w:ascii="Calibri" w:hAnsi="Calibri" w:eastAsia="Calibri"/>
                <w:sz w:val="19"/>
              </w:rPr>
              <w:t>C. com., art. R. 123-75</w:t>
            </w:r>
          </w:p>
        </w:tc>
      </w:tr>
      <w:tr>
        <w:tc>
          <w:tcPr>
            <w:tcW w:type="dxa" w:w="3211"/>
          </w:tcPr>
          <w:p>
            <w:pPr>
              <w:spacing w:after="0" w:before="0"/>
            </w:pPr>
            <w:r>
              <w:rPr>
                <w:rFonts w:ascii="Calibri" w:hAnsi="Calibri" w:eastAsia="Calibri"/>
                <w:sz w:val="19"/>
              </w:rPr>
              <w:t>Trois ans au plus</w:t>
            </w:r>
          </w:p>
        </w:tc>
        <w:tc>
          <w:tcPr>
            <w:tcW w:type="dxa" w:w="3211"/>
          </w:tcPr>
          <w:p>
            <w:pPr>
              <w:spacing w:after="0" w:before="0"/>
            </w:pPr>
            <w:r>
              <w:rPr>
                <w:rFonts w:ascii="Calibri" w:hAnsi="Calibri" w:eastAsia="Calibri"/>
                <w:sz w:val="19"/>
              </w:rPr>
              <w:t>Durée maximale du mandat du liquidateur (renouvelable) ; au-delà de trois ans sans clôture, saisine possible du tribunal</w:t>
            </w:r>
          </w:p>
        </w:tc>
        <w:tc>
          <w:tcPr>
            <w:tcW w:type="dxa" w:w="3211"/>
          </w:tcPr>
          <w:p>
            <w:pPr>
              <w:spacing w:after="0" w:before="0"/>
            </w:pPr>
            <w:r>
              <w:rPr>
                <w:rFonts w:ascii="Calibri" w:hAnsi="Calibri" w:eastAsia="Calibri"/>
                <w:sz w:val="19"/>
              </w:rPr>
              <w:t>C. com., art. L. 237-21 ; C. civ., art. 1844-8</w:t>
            </w:r>
          </w:p>
        </w:tc>
      </w:tr>
    </w:tbl>
    <w:p>
      <w:pPr>
        <w:spacing w:after="160"/>
      </w:pPr>
    </w:p>
    <w:p>
      <w:pPr>
        <w:spacing w:after="200" w:before="0"/>
        <w:jc w:val="both"/>
      </w:pPr>
      <w:r>
        <w:rPr>
          <w:rFonts w:ascii="Calibri" w:hAnsi="Calibri" w:eastAsia="Calibri"/>
          <w:i/>
          <w:color w:val="4B5563"/>
          <w:sz w:val="22"/>
        </w:rPr>
        <w:t>Le régime des articles L. 237-14 et suivants s’applique à défaut de clauses statutaires ou de convention expresse réglant la liquidation (C. com., art. L. 237-14, I) : lisez d’abord les statuts.</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Ce modèle vise l’EURL et la SASU dont l’associé unique est une PERSONNE PHYSIQUE : la dissolution est alors suivie d’une liquidation (C. civ., art. 1844-5, dernier alinéa). Si l’associé unique est une personne morale, la dissolution entraîne la transmission universelle du patrimoine sans liquidation : utilisez le modèle dédié.</w:t>
      </w:r>
    </w:p>
    <w:p>
      <w:pPr>
        <w:spacing w:after="100" w:before="0"/>
        <w:jc w:val="both"/>
      </w:pPr>
      <w:r>
        <w:rPr>
          <w:rFonts w:ascii="Calibri" w:hAnsi="Calibri" w:eastAsia="Calibri"/>
          <w:color w:val="374151"/>
          <w:sz w:val="20"/>
        </w:rPr>
        <w:t>• L’associé unique ne peut déléguer ses pouvoirs ; ses décisions sont répertoriées dans un registre (C. com., art. L. 223-31 pour l’EURL ; art. L. 227-9 pour la SASU). Consignez le présent procès-verbal dans ce registre.</w:t>
      </w:r>
    </w:p>
    <w:p>
      <w:pPr>
        <w:spacing w:after="100" w:before="0"/>
        <w:jc w:val="both"/>
      </w:pPr>
      <w:r>
        <w:rPr>
          <w:rFonts w:ascii="Calibri" w:hAnsi="Calibri" w:eastAsia="Calibri"/>
          <w:color w:val="374151"/>
          <w:sz w:val="20"/>
        </w:rPr>
        <w:t>• L’associé unique peut se nommer lui-même liquidateur ; il signe alors en ses deux qualités. Le mandat ne peut excéder trois ans, sauf renouvellement (C. com., art. L. 237-21).</w:t>
      </w:r>
    </w:p>
    <w:p>
      <w:pPr>
        <w:spacing w:after="100" w:before="0"/>
        <w:jc w:val="both"/>
      </w:pPr>
      <w:r>
        <w:rPr>
          <w:rFonts w:ascii="Calibri" w:hAnsi="Calibri" w:eastAsia="Calibri"/>
          <w:color w:val="374151"/>
          <w:sz w:val="20"/>
        </w:rPr>
        <w:t>• Lorsque la liquidation suit le régime des articles L. 237-14 et suivants du code de commerce (statuts muets), ces textes ne prévoient pas d’exception pour la société à associé unique : par prudence, établissez le rapport dans les six mois de la nomination (L. 237-23), puis les comptes annuels et le rapport dans les trois mois de chaque clôture d’exercice (L. 237-25). Un modèle de rapport du liquidateur figure sur la même page.</w:t>
      </w:r>
    </w:p>
    <w:p>
      <w:pPr>
        <w:spacing w:after="100" w:before="0"/>
        <w:jc w:val="both"/>
      </w:pPr>
      <w:r>
        <w:rPr>
          <w:rFonts w:ascii="Calibri" w:hAnsi="Calibri" w:eastAsia="Calibri"/>
          <w:color w:val="374151"/>
          <w:sz w:val="20"/>
        </w:rPr>
        <w:t>• La liquidation amiable suppose que toutes les dettes puissent être payées. En cas de cessation des paiements, l’ouverture d’une procédure collective doit être demandée dans les quarante-cinq jours, sauf conciliation (C. com., art. L. 631-4).</w:t>
      </w:r>
    </w:p>
    <w:p>
      <w:pPr>
        <w:spacing w:after="100" w:before="0"/>
        <w:jc w:val="both"/>
      </w:pPr>
      <w:r>
        <w:rPr>
          <w:rFonts w:ascii="Calibri" w:hAnsi="Calibri" w:eastAsia="Calibri"/>
          <w:color w:val="374151"/>
          <w:sz w:val="20"/>
        </w:rPr>
        <w:t>• Formalités : avis dans un support habilité dans le mois (C. com., art. R. 237-2 ; forfait 2026 de 153 € HT en métropole), puis déclaration au guichet unique dans le mois (C. com., art. R. 123-66), avec l’attestation de parution, la déclaration de non-condamnation et de filiation du liquidateur et la copie de sa pièce d’identité (service-public, F23744).</w:t>
      </w:r>
    </w:p>
    <w:p>
      <w:pPr>
        <w:spacing w:after="100" w:before="0"/>
        <w:jc w:val="both"/>
      </w:pPr>
      <w:r>
        <w:rPr>
          <w:rFonts w:ascii="Calibri" w:hAnsi="Calibri" w:eastAsia="Calibri"/>
          <w:color w:val="374151"/>
          <w:sz w:val="20"/>
        </w:rPr>
        <w:t>• Interdits : céder des actifs au liquidateur, à ses employés ou à leurs conjoint, ascendants ou descendants (C. com., art. L. 237-7). Pensez aux contrats en cours (bail, abonnements, assurances, crédit) et, s’il y a des salariés, à la procédure de licenciement économique.</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Conservez l’original signé au siège (registre des décisions ou registre des procès-verbaux).</w:t>
      </w:r>
    </w:p>
    <w:p>
      <w:pPr>
        <w:spacing w:after="100" w:before="0"/>
        <w:jc w:val="both"/>
      </w:pPr>
      <w:r>
        <w:rPr>
          <w:rFonts w:ascii="Calibri" w:hAnsi="Calibri" w:eastAsia="Calibri"/>
          <w:color w:val="374151"/>
          <w:sz w:val="20"/>
        </w:rPr>
        <w:t>• Ce modèle est une base de travail : il ne remplace pas un conseil adapté à la situation de la société. Faites relire l’acte par un avocat avant signature, en particulier si la société a des dettes, des salariés, des biens immobiliers, un litige en cours ou plusieurs associés en désaccord.</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Décision de l’associé unique — dissolution anticipée et nomination du liquidateur (EURL / SASU)</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