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r>
        <w:rPr>
          <w:rFonts w:ascii="Calibri" w:hAnsi="Calibri" w:eastAsia="Calibri"/>
          <w:b/>
          <w:sz w:val="24"/>
        </w:rPr>
        <w:t xml:space="preserve"> — SOCIÉTÉ EN LIQUIDATION</w:t>
      </w:r>
    </w:p>
    <w:p>
      <w:pPr>
        <w:spacing w:after="40" w:before="0"/>
        <w:jc w:val="center"/>
      </w:pPr>
      <w:r>
        <w:rPr>
          <w:rFonts w:ascii="Calibri" w:hAnsi="Calibri" w:eastAsia="Calibri"/>
          <w:sz w:val="22"/>
          <w:highlight w:val="yellow"/>
        </w:rPr>
        <w:t>[Société à responsabilité limitée à associé unique (EURL) / Société par actions simplifiée unipersonnelle (SASU)]</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40" w:before="0"/>
        <w:jc w:val="center"/>
      </w:pPr>
      <w:r>
        <w:rPr>
          <w:rFonts w:ascii="Calibri" w:hAnsi="Calibri" w:eastAsia="Calibri"/>
          <w:sz w:val="22"/>
        </w:rPr>
        <w:t xml:space="preserve">Siège de la liquidation : </w:t>
      </w:r>
      <w:r>
        <w:rPr>
          <w:rFonts w:ascii="Calibri" w:hAnsi="Calibri" w:eastAsia="Calibri"/>
          <w:sz w:val="22"/>
          <w:highlight w:val="yellow"/>
        </w:rPr>
        <w:t>[adresse de la liquidation]</w:t>
      </w:r>
    </w:p>
    <w:p>
      <w:pPr>
        <w:spacing w:after="40" w:before="0"/>
        <w:jc w:val="center"/>
      </w:pPr>
      <w:r>
        <w:rPr>
          <w:rFonts w:ascii="Calibri" w:hAnsi="Calibri" w:eastAsia="Calibri"/>
          <w:sz w:val="22"/>
        </w:rPr>
        <w:t xml:space="preserve">Liquidateur : </w:t>
      </w:r>
      <w:r>
        <w:rPr>
          <w:rFonts w:ascii="Calibri" w:hAnsi="Calibri" w:eastAsia="Calibri"/>
          <w:sz w:val="22"/>
          <w:highlight w:val="yellow"/>
        </w:rPr>
        <w:t>[Prénom NOM]</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PROCÈS-VERBAL DES DÉCISIONS DE L’ASSOCIÉ UNIQUE</w:t>
      </w:r>
    </w:p>
    <w:p>
      <w:pPr>
        <w:spacing w:after="40" w:before="0"/>
        <w:jc w:val="center"/>
      </w:pPr>
      <w:r>
        <w:rPr>
          <w:rFonts w:ascii="Calibri" w:hAnsi="Calibri" w:eastAsia="Calibri"/>
          <w:b/>
          <w:sz w:val="22"/>
        </w:rPr>
        <w:t xml:space="preserve">du </w:t>
      </w:r>
      <w:r>
        <w:rPr>
          <w:rFonts w:ascii="Calibri" w:hAnsi="Calibri" w:eastAsia="Calibri"/>
          <w:b/>
          <w:sz w:val="22"/>
          <w:highlight w:val="yellow"/>
        </w:rPr>
        <w:t>[date]</w:t>
      </w:r>
    </w:p>
    <w:p>
      <w:pPr>
        <w:spacing w:after="320" w:before="0"/>
        <w:jc w:val="center"/>
      </w:pPr>
      <w:r>
        <w:rPr>
          <w:rFonts w:ascii="Calibri" w:hAnsi="Calibri" w:eastAsia="Calibri"/>
          <w:b/>
          <w:sz w:val="22"/>
        </w:rPr>
        <w:t>Comptes définitifs — Quitus au liquidateur — Clôture de la liquidation</w:t>
      </w:r>
    </w:p>
    <w:p>
      <w:pPr>
        <w:spacing w:after="160" w:before="0"/>
        <w:jc w:val="both"/>
      </w:pPr>
      <w:r>
        <w:rPr>
          <w:rFonts w:ascii="Calibri" w:hAnsi="Calibri" w:eastAsia="Calibri"/>
          <w:sz w:val="22"/>
        </w:rPr>
        <w:t xml:space="preserve">L’an </w:t>
      </w:r>
      <w:r>
        <w:rPr>
          <w:rFonts w:ascii="Calibri" w:hAnsi="Calibri" w:eastAsia="Calibri"/>
          <w:sz w:val="22"/>
          <w:highlight w:val="yellow"/>
        </w:rPr>
        <w:t>[année]</w:t>
      </w:r>
      <w:r>
        <w:rPr>
          <w:rFonts w:ascii="Calibri" w:hAnsi="Calibri" w:eastAsia="Calibri"/>
          <w:sz w:val="22"/>
        </w:rPr>
        <w:t xml:space="preserve">, le </w:t>
      </w:r>
      <w:r>
        <w:rPr>
          <w:rFonts w:ascii="Calibri" w:hAnsi="Calibri" w:eastAsia="Calibri"/>
          <w:sz w:val="22"/>
          <w:highlight w:val="yellow"/>
        </w:rPr>
        <w:t>[jour et mois]</w:t>
      </w:r>
      <w:r>
        <w:rPr>
          <w:rFonts w:ascii="Calibri" w:hAnsi="Calibri" w:eastAsia="Calibri"/>
          <w:sz w:val="22"/>
        </w:rPr>
        <w:t>, au siège de la liquidation,</w:t>
      </w:r>
    </w:p>
    <w:p>
      <w:pPr>
        <w:spacing w:after="160" w:before="0"/>
        <w:jc w:val="both"/>
      </w:pPr>
      <w:r>
        <w:rPr>
          <w:rFonts w:ascii="Calibri" w:hAnsi="Calibri" w:eastAsia="Calibri"/>
          <w:sz w:val="22"/>
          <w:highlight w:val="yellow"/>
        </w:rPr>
        <w:t>[Prénom NOM]</w:t>
      </w:r>
      <w:r>
        <w:rPr>
          <w:rFonts w:ascii="Calibri" w:hAnsi="Calibri" w:eastAsia="Calibri"/>
          <w:sz w:val="22"/>
        </w:rPr>
        <w:t xml:space="preserve">, demeurant </w:t>
      </w:r>
      <w:r>
        <w:rPr>
          <w:rFonts w:ascii="Calibri" w:hAnsi="Calibri" w:eastAsia="Calibri"/>
          <w:sz w:val="22"/>
          <w:highlight w:val="yellow"/>
        </w:rPr>
        <w:t>[adresse]</w:t>
      </w:r>
      <w:r>
        <w:rPr>
          <w:rFonts w:ascii="Calibri" w:hAnsi="Calibri" w:eastAsia="Calibri"/>
          <w:sz w:val="22"/>
        </w:rPr>
        <w:t xml:space="preserve">, associé(e) unique de la société, propriétaire de la totalité des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sociales / actions]</w:t>
      </w:r>
      <w:r>
        <w:rPr>
          <w:rFonts w:ascii="Calibri" w:hAnsi="Calibri" w:eastAsia="Calibri"/>
          <w:sz w:val="22"/>
        </w:rPr>
        <w:t xml:space="preserve"> composant le capital social,</w:t>
      </w:r>
    </w:p>
    <w:p>
      <w:pPr>
        <w:spacing w:after="240" w:before="0"/>
        <w:jc w:val="both"/>
      </w:pPr>
      <w:r>
        <w:rPr>
          <w:rFonts w:ascii="Calibri" w:hAnsi="Calibri" w:eastAsia="Calibri"/>
          <w:sz w:val="22"/>
        </w:rPr>
        <w:t xml:space="preserve">après avoir pris connaissance des comptes définitifs de liquidation arrêtés au </w:t>
      </w:r>
      <w:r>
        <w:rPr>
          <w:rFonts w:ascii="Calibri" w:hAnsi="Calibri" w:eastAsia="Calibri"/>
          <w:sz w:val="22"/>
          <w:highlight w:val="yellow"/>
        </w:rPr>
        <w:t>[date]</w:t>
      </w:r>
      <w:r>
        <w:rPr>
          <w:rFonts w:ascii="Calibri" w:hAnsi="Calibri" w:eastAsia="Calibri"/>
          <w:sz w:val="22"/>
        </w:rPr>
        <w:t xml:space="preserve"> et du rapport du liquidateur sur l’ensemble des opérations de liquidation </w:t>
      </w:r>
      <w:r>
        <w:rPr>
          <w:rFonts w:ascii="Calibri" w:hAnsi="Calibri" w:eastAsia="Calibri"/>
          <w:sz w:val="22"/>
          <w:highlight w:val="yellow"/>
        </w:rPr>
        <w:t>[ainsi que du rapport du commissaire aux comptes]</w:t>
      </w:r>
      <w:r>
        <w:rPr>
          <w:rFonts w:ascii="Calibri" w:hAnsi="Calibri" w:eastAsia="Calibri"/>
          <w:sz w:val="22"/>
        </w:rPr>
        <w:t>, a pris les décisions suivantes :</w:t>
      </w:r>
    </w:p>
    <w:p>
      <w:pPr>
        <w:spacing w:after="120" w:before="0"/>
      </w:pPr>
      <w:r>
        <w:rPr>
          <w:rFonts w:ascii="Calibri" w:hAnsi="Calibri" w:eastAsia="Calibri"/>
          <w:b/>
          <w:sz w:val="22"/>
        </w:rPr>
        <w:t>PREMIÈRE DÉCISION — Approbation des comptes définitifs de liquidation</w:t>
      </w:r>
    </w:p>
    <w:p>
      <w:pPr>
        <w:spacing w:after="80" w:before="0"/>
        <w:jc w:val="both"/>
      </w:pPr>
      <w:r>
        <w:rPr>
          <w:rFonts w:ascii="Calibri" w:hAnsi="Calibri" w:eastAsia="Calibri"/>
          <w:sz w:val="22"/>
        </w:rPr>
        <w:t xml:space="preserve">L’associé unique approuve les comptes définitifs de liquidation arrêtés au </w:t>
      </w:r>
      <w:r>
        <w:rPr>
          <w:rFonts w:ascii="Calibri" w:hAnsi="Calibri" w:eastAsia="Calibri"/>
          <w:sz w:val="22"/>
          <w:highlight w:val="yellow"/>
        </w:rPr>
        <w:t>[date]</w:t>
      </w:r>
      <w:r>
        <w:rPr>
          <w:rFonts w:ascii="Calibri" w:hAnsi="Calibri" w:eastAsia="Calibri"/>
          <w:sz w:val="22"/>
        </w:rPr>
        <w:t>, qui se résument ainsi :</w:t>
      </w:r>
    </w:p>
    <w:tbl>
      <w:tblPr>
        <w:tblStyle w:val="TableGrid"/>
        <w:tblW w:type="auto" w:w="0"/>
        <w:tblLook w:firstColumn="1" w:firstRow="1" w:lastColumn="0" w:lastRow="0" w:noHBand="0" w:noVBand="1" w:val="04A0"/>
      </w:tblPr>
      <w:tblGrid>
        <w:gridCol w:w="4816"/>
        <w:gridCol w:w="4816"/>
      </w:tblGrid>
      <w:tr>
        <w:tc>
          <w:tcPr>
            <w:tcW w:type="dxa" w:w="4816"/>
          </w:tcPr>
          <w:p>
            <w:pPr>
              <w:spacing w:after="0" w:before="0"/>
            </w:pPr>
            <w:r>
              <w:rPr>
                <w:rFonts w:ascii="Calibri" w:hAnsi="Calibri" w:eastAsia="Calibri"/>
                <w:b/>
                <w:sz w:val="19"/>
              </w:rPr>
              <w:t>Poste</w:t>
            </w:r>
          </w:p>
        </w:tc>
        <w:tc>
          <w:tcPr>
            <w:tcW w:type="dxa" w:w="4816"/>
          </w:tcPr>
          <w:p>
            <w:pPr>
              <w:spacing w:after="0" w:before="0"/>
            </w:pPr>
            <w:r>
              <w:rPr>
                <w:rFonts w:ascii="Calibri" w:hAnsi="Calibri" w:eastAsia="Calibri"/>
                <w:b/>
                <w:sz w:val="19"/>
              </w:rPr>
              <w:t>Montant (€)</w:t>
            </w:r>
          </w:p>
        </w:tc>
      </w:tr>
      <w:tr>
        <w:tc>
          <w:tcPr>
            <w:tcW w:type="dxa" w:w="4816"/>
          </w:tcPr>
          <w:p>
            <w:pPr>
              <w:spacing w:after="0" w:before="0"/>
            </w:pPr>
            <w:r>
              <w:rPr>
                <w:rFonts w:ascii="Calibri" w:hAnsi="Calibri" w:eastAsia="Calibri"/>
                <w:sz w:val="19"/>
              </w:rPr>
              <w:t>Produit de la réalisation de l’actif</w:t>
            </w:r>
          </w:p>
        </w:tc>
        <w:tc>
          <w:tcPr>
            <w:tcW w:type="dxa" w:w="4816"/>
          </w:tcPr>
          <w:p>
            <w:pPr>
              <w:spacing w:after="0" w:before="0"/>
            </w:pPr>
            <w:r>
              <w:rPr>
                <w:rFonts w:ascii="Calibri" w:hAnsi="Calibri" w:eastAsia="Calibri"/>
                <w:sz w:val="19"/>
                <w:highlight w:val="yellow"/>
              </w:rPr>
              <w:t>[montant]</w:t>
            </w:r>
          </w:p>
        </w:tc>
      </w:tr>
      <w:tr>
        <w:tc>
          <w:tcPr>
            <w:tcW w:type="dxa" w:w="4816"/>
          </w:tcPr>
          <w:p>
            <w:pPr>
              <w:spacing w:after="0" w:before="0"/>
            </w:pPr>
            <w:r>
              <w:rPr>
                <w:rFonts w:ascii="Calibri" w:hAnsi="Calibri" w:eastAsia="Calibri"/>
                <w:sz w:val="19"/>
              </w:rPr>
              <w:t>Passif réglé</w:t>
            </w:r>
          </w:p>
        </w:tc>
        <w:tc>
          <w:tcPr>
            <w:tcW w:type="dxa" w:w="4816"/>
          </w:tcPr>
          <w:p>
            <w:pPr>
              <w:spacing w:after="0" w:before="0"/>
            </w:pPr>
            <w:r>
              <w:rPr>
                <w:rFonts w:ascii="Calibri" w:hAnsi="Calibri" w:eastAsia="Calibri"/>
                <w:sz w:val="19"/>
                <w:highlight w:val="yellow"/>
              </w:rPr>
              <w:t>[montant]</w:t>
            </w:r>
          </w:p>
        </w:tc>
      </w:tr>
      <w:tr>
        <w:tc>
          <w:tcPr>
            <w:tcW w:type="dxa" w:w="4816"/>
          </w:tcPr>
          <w:p>
            <w:pPr>
              <w:spacing w:after="0" w:before="0"/>
            </w:pPr>
            <w:r>
              <w:rPr>
                <w:rFonts w:ascii="Calibri" w:hAnsi="Calibri" w:eastAsia="Calibri"/>
                <w:sz w:val="19"/>
              </w:rPr>
              <w:t>Frais de liquidation</w:t>
            </w:r>
          </w:p>
        </w:tc>
        <w:tc>
          <w:tcPr>
            <w:tcW w:type="dxa" w:w="4816"/>
          </w:tcPr>
          <w:p>
            <w:pPr>
              <w:spacing w:after="0" w:before="0"/>
            </w:pPr>
            <w:r>
              <w:rPr>
                <w:rFonts w:ascii="Calibri" w:hAnsi="Calibri" w:eastAsia="Calibri"/>
                <w:sz w:val="19"/>
                <w:highlight w:val="yellow"/>
              </w:rPr>
              <w:t>[montant]</w:t>
            </w:r>
          </w:p>
        </w:tc>
      </w:tr>
      <w:tr>
        <w:tc>
          <w:tcPr>
            <w:tcW w:type="dxa" w:w="4816"/>
          </w:tcPr>
          <w:p>
            <w:pPr>
              <w:spacing w:after="0" w:before="0"/>
            </w:pPr>
            <w:r>
              <w:rPr>
                <w:rFonts w:ascii="Calibri" w:hAnsi="Calibri" w:eastAsia="Calibri"/>
                <w:b/>
                <w:sz w:val="19"/>
              </w:rPr>
              <w:t>Solde disponible</w:t>
            </w:r>
          </w:p>
        </w:tc>
        <w:tc>
          <w:tcPr>
            <w:tcW w:type="dxa" w:w="4816"/>
          </w:tcPr>
          <w:p>
            <w:pPr>
              <w:spacing w:after="0" w:before="0"/>
            </w:pPr>
            <w:r>
              <w:rPr>
                <w:rFonts w:ascii="Calibri" w:hAnsi="Calibri" w:eastAsia="Calibri"/>
                <w:sz w:val="19"/>
                <w:highlight w:val="yellow"/>
              </w:rPr>
              <w:t>[montant]</w:t>
            </w:r>
          </w:p>
        </w:tc>
      </w:tr>
      <w:tr>
        <w:tc>
          <w:tcPr>
            <w:tcW w:type="dxa" w:w="4816"/>
          </w:tcPr>
          <w:p>
            <w:pPr>
              <w:spacing w:after="0" w:before="0"/>
            </w:pPr>
            <w:r>
              <w:rPr>
                <w:rFonts w:ascii="Calibri" w:hAnsi="Calibri" w:eastAsia="Calibri"/>
                <w:sz w:val="19"/>
              </w:rPr>
              <w:t>dont remboursement des apports (nominal)</w:t>
            </w:r>
          </w:p>
        </w:tc>
        <w:tc>
          <w:tcPr>
            <w:tcW w:type="dxa" w:w="4816"/>
          </w:tcPr>
          <w:p>
            <w:pPr>
              <w:spacing w:after="0" w:before="0"/>
            </w:pPr>
            <w:r>
              <w:rPr>
                <w:rFonts w:ascii="Calibri" w:hAnsi="Calibri" w:eastAsia="Calibri"/>
                <w:sz w:val="19"/>
                <w:highlight w:val="yellow"/>
              </w:rPr>
              <w:t>[montant]</w:t>
            </w:r>
          </w:p>
        </w:tc>
      </w:tr>
      <w:tr>
        <w:tc>
          <w:tcPr>
            <w:tcW w:type="dxa" w:w="4816"/>
          </w:tcPr>
          <w:p>
            <w:pPr>
              <w:spacing w:after="0" w:before="0"/>
            </w:pPr>
            <w:r>
              <w:rPr>
                <w:rFonts w:ascii="Calibri" w:hAnsi="Calibri" w:eastAsia="Calibri"/>
                <w:b/>
                <w:sz w:val="19"/>
              </w:rPr>
              <w:t>Boni de liquidation (ou mali)</w:t>
            </w:r>
          </w:p>
        </w:tc>
        <w:tc>
          <w:tcPr>
            <w:tcW w:type="dxa" w:w="4816"/>
          </w:tcPr>
          <w:p>
            <w:pPr>
              <w:spacing w:after="0" w:before="0"/>
            </w:pPr>
            <w:r>
              <w:rPr>
                <w:rFonts w:ascii="Calibri" w:hAnsi="Calibri" w:eastAsia="Calibri"/>
                <w:sz w:val="19"/>
                <w:highlight w:val="yellow"/>
              </w:rPr>
              <w:t>[montant]</w:t>
            </w:r>
          </w:p>
        </w:tc>
      </w:tr>
    </w:tbl>
    <w:p>
      <w:pPr>
        <w:spacing w:after="160"/>
      </w:pPr>
    </w:p>
    <w:p>
      <w:pPr>
        <w:spacing w:after="160" w:before="0"/>
        <w:jc w:val="both"/>
      </w:pPr>
      <w:r>
        <w:rPr>
          <w:rFonts w:ascii="Calibri" w:hAnsi="Calibri" w:eastAsia="Calibri"/>
          <w:sz w:val="22"/>
        </w:rPr>
        <w:t>Le liquidateur déclare que l’ensemble du passif social a été réglé.</w:t>
      </w:r>
    </w:p>
    <w:p>
      <w:pPr>
        <w:spacing w:after="240" w:before="0"/>
      </w:pPr>
      <w:r>
        <w:rPr>
          <w:rFonts w:ascii="Calibri" w:hAnsi="Calibri" w:eastAsia="Calibri"/>
          <w:b/>
          <w:sz w:val="22"/>
        </w:rPr>
        <w:t>Cette décision est prise par l’associé unique.</w:t>
      </w:r>
    </w:p>
    <w:p>
      <w:pPr>
        <w:spacing w:after="120" w:before="0"/>
      </w:pPr>
      <w:r>
        <w:rPr>
          <w:rFonts w:ascii="Calibri" w:hAnsi="Calibri" w:eastAsia="Calibri"/>
          <w:b/>
          <w:sz w:val="22"/>
        </w:rPr>
        <w:t>DEUXIÈME DÉCISION — Attribution du solde disponible</w:t>
      </w:r>
    </w:p>
    <w:p>
      <w:pPr>
        <w:spacing w:after="160" w:before="0"/>
        <w:jc w:val="both"/>
      </w:pPr>
      <w:r>
        <w:rPr>
          <w:rFonts w:ascii="Calibri" w:hAnsi="Calibri" w:eastAsia="Calibri"/>
          <w:b/>
          <w:sz w:val="22"/>
          <w:highlight w:val="yellow"/>
        </w:rPr>
        <w:t>[Option A]</w:t>
      </w:r>
      <w:r>
        <w:rPr>
          <w:rFonts w:ascii="Calibri" w:hAnsi="Calibri" w:eastAsia="Calibri"/>
          <w:sz w:val="22"/>
        </w:rPr>
        <w:t xml:space="preserve"> Le solde disponible, soit </w:t>
      </w:r>
      <w:r>
        <w:rPr>
          <w:rFonts w:ascii="Calibri" w:hAnsi="Calibri" w:eastAsia="Calibri"/>
          <w:sz w:val="22"/>
          <w:highlight w:val="yellow"/>
        </w:rPr>
        <w:t>[montant]</w:t>
      </w:r>
      <w:r>
        <w:rPr>
          <w:rFonts w:ascii="Calibri" w:hAnsi="Calibri" w:eastAsia="Calibri"/>
          <w:sz w:val="22"/>
        </w:rPr>
        <w:t xml:space="preserve"> €, comprenant le remboursement des apports pour </w:t>
      </w:r>
      <w:r>
        <w:rPr>
          <w:rFonts w:ascii="Calibri" w:hAnsi="Calibri" w:eastAsia="Calibri"/>
          <w:sz w:val="22"/>
          <w:highlight w:val="yellow"/>
        </w:rPr>
        <w:t>[montant]</w:t>
      </w:r>
      <w:r>
        <w:rPr>
          <w:rFonts w:ascii="Calibri" w:hAnsi="Calibri" w:eastAsia="Calibri"/>
          <w:sz w:val="22"/>
        </w:rPr>
        <w:t xml:space="preserve"> € et un boni de liquidation de </w:t>
      </w:r>
      <w:r>
        <w:rPr>
          <w:rFonts w:ascii="Calibri" w:hAnsi="Calibri" w:eastAsia="Calibri"/>
          <w:sz w:val="22"/>
          <w:highlight w:val="yellow"/>
        </w:rPr>
        <w:t>[montant]</w:t>
      </w:r>
      <w:r>
        <w:rPr>
          <w:rFonts w:ascii="Calibri" w:hAnsi="Calibri" w:eastAsia="Calibri"/>
          <w:sz w:val="22"/>
        </w:rPr>
        <w:t xml:space="preserve"> €, est attribué en totalité à l’associé unique.</w:t>
      </w:r>
    </w:p>
    <w:p>
      <w:pPr>
        <w:spacing w:after="160" w:before="0"/>
        <w:jc w:val="both"/>
      </w:pPr>
      <w:r>
        <w:rPr>
          <w:rFonts w:ascii="Calibri" w:hAnsi="Calibri" w:eastAsia="Calibri"/>
          <w:b/>
          <w:sz w:val="22"/>
          <w:highlight w:val="yellow"/>
        </w:rPr>
        <w:t>[Option B]</w:t>
      </w:r>
      <w:r>
        <w:rPr>
          <w:rFonts w:ascii="Calibri" w:hAnsi="Calibri" w:eastAsia="Calibri"/>
          <w:sz w:val="22"/>
        </w:rPr>
        <w:t xml:space="preserve"> L’associé unique constate que le solde disponible ne permet de rembourser ses apports qu’à hauteur de </w:t>
      </w:r>
      <w:r>
        <w:rPr>
          <w:rFonts w:ascii="Calibri" w:hAnsi="Calibri" w:eastAsia="Calibri"/>
          <w:sz w:val="22"/>
          <w:highlight w:val="yellow"/>
        </w:rPr>
        <w:t>[montant]</w:t>
      </w:r>
      <w:r>
        <w:rPr>
          <w:rFonts w:ascii="Calibri" w:hAnsi="Calibri" w:eastAsia="Calibri"/>
          <w:sz w:val="22"/>
        </w:rPr>
        <w:t xml:space="preserve"> € </w:t>
      </w:r>
      <w:r>
        <w:rPr>
          <w:rFonts w:ascii="Calibri" w:hAnsi="Calibri" w:eastAsia="Calibri"/>
          <w:sz w:val="22"/>
          <w:highlight w:val="yellow"/>
        </w:rPr>
        <w:t>[ou : ne permet aucun remboursement]</w:t>
      </w:r>
      <w:r>
        <w:rPr>
          <w:rFonts w:ascii="Calibri" w:hAnsi="Calibri" w:eastAsia="Calibri"/>
          <w:sz w:val="22"/>
        </w:rPr>
        <w:t xml:space="preserve"> et supporte la perte en résultant.</w:t>
      </w:r>
    </w:p>
    <w:p>
      <w:pPr>
        <w:spacing w:after="240" w:before="0"/>
      </w:pPr>
      <w:r>
        <w:rPr>
          <w:rFonts w:ascii="Calibri" w:hAnsi="Calibri" w:eastAsia="Calibri"/>
          <w:b/>
          <w:sz w:val="22"/>
        </w:rPr>
        <w:t>Cette décision est prise par l’associé unique.</w:t>
      </w:r>
    </w:p>
    <w:p>
      <w:pPr>
        <w:spacing w:after="120" w:before="0"/>
      </w:pPr>
      <w:r>
        <w:rPr>
          <w:rFonts w:ascii="Calibri" w:hAnsi="Calibri" w:eastAsia="Calibri"/>
          <w:b/>
          <w:sz w:val="22"/>
        </w:rPr>
        <w:t>TROISIÈME DÉCISION — Quitus et décharge du liquidateur</w:t>
      </w:r>
    </w:p>
    <w:p>
      <w:pPr>
        <w:spacing w:after="160" w:before="0"/>
        <w:jc w:val="both"/>
      </w:pPr>
      <w:r>
        <w:rPr>
          <w:rFonts w:ascii="Calibri" w:hAnsi="Calibri" w:eastAsia="Calibri"/>
          <w:sz w:val="22"/>
        </w:rPr>
        <w:t xml:space="preserve">L’associé unique donne quitus à </w:t>
      </w:r>
      <w:r>
        <w:rPr>
          <w:rFonts w:ascii="Calibri" w:hAnsi="Calibri" w:eastAsia="Calibri"/>
          <w:sz w:val="22"/>
          <w:highlight w:val="yellow"/>
        </w:rPr>
        <w:t>[Prénom NOM / lui-même]</w:t>
      </w:r>
      <w:r>
        <w:rPr>
          <w:rFonts w:ascii="Calibri" w:hAnsi="Calibri" w:eastAsia="Calibri"/>
          <w:sz w:val="22"/>
        </w:rPr>
        <w:t xml:space="preserve"> de sa gestion en qualité de liquidateur et le décharge de son mandat (C. com., art. L. 237-9).</w:t>
      </w:r>
    </w:p>
    <w:p>
      <w:pPr>
        <w:spacing w:after="240" w:before="0"/>
      </w:pPr>
      <w:r>
        <w:rPr>
          <w:rFonts w:ascii="Calibri" w:hAnsi="Calibri" w:eastAsia="Calibri"/>
          <w:b/>
          <w:sz w:val="22"/>
        </w:rPr>
        <w:t>Cette décision est prise par l’associé unique.</w:t>
      </w:r>
    </w:p>
    <w:p>
      <w:pPr>
        <w:spacing w:after="120" w:before="0"/>
      </w:pPr>
      <w:r>
        <w:rPr>
          <w:rFonts w:ascii="Calibri" w:hAnsi="Calibri" w:eastAsia="Calibri"/>
          <w:b/>
          <w:sz w:val="22"/>
        </w:rPr>
        <w:t>QUATRIÈME DÉCISION — Clôture de la liquidation</w:t>
      </w:r>
    </w:p>
    <w:p>
      <w:pPr>
        <w:spacing w:after="160" w:before="0"/>
        <w:jc w:val="both"/>
      </w:pPr>
      <w:r>
        <w:rPr>
          <w:rFonts w:ascii="Calibri" w:hAnsi="Calibri" w:eastAsia="Calibri"/>
          <w:sz w:val="22"/>
        </w:rPr>
        <w:t xml:space="preserve">L’associé unique constate la clôture de la liquidation à compter de ce jour. </w:t>
      </w:r>
      <w:r>
        <w:rPr>
          <w:rFonts w:ascii="Calibri" w:hAnsi="Calibri" w:eastAsia="Calibri"/>
          <w:sz w:val="22"/>
          <w:highlight w:val="yellow"/>
        </w:rPr>
        <w:t>[Facultatif : les livres et documents sociaux seront conservés par … à l’adresse suivante : …]</w:t>
      </w:r>
    </w:p>
    <w:p>
      <w:pPr>
        <w:spacing w:after="240" w:before="0"/>
      </w:pPr>
      <w:r>
        <w:rPr>
          <w:rFonts w:ascii="Calibri" w:hAnsi="Calibri" w:eastAsia="Calibri"/>
          <w:b/>
          <w:sz w:val="22"/>
        </w:rPr>
        <w:t>Cette décision est prise par l’associé unique.</w:t>
      </w:r>
    </w:p>
    <w:p>
      <w:pPr>
        <w:spacing w:after="120" w:before="0"/>
      </w:pPr>
      <w:r>
        <w:rPr>
          <w:rFonts w:ascii="Calibri" w:hAnsi="Calibri" w:eastAsia="Calibri"/>
          <w:b/>
          <w:sz w:val="22"/>
        </w:rPr>
        <w:t>CINQUIÈME DÉCISION — Pouvoirs</w:t>
      </w:r>
    </w:p>
    <w:p>
      <w:pPr>
        <w:spacing w:after="160" w:before="0"/>
        <w:jc w:val="both"/>
      </w:pPr>
      <w:r>
        <w:rPr>
          <w:rFonts w:ascii="Calibri" w:hAnsi="Calibri" w:eastAsia="Calibri"/>
          <w:sz w:val="22"/>
        </w:rPr>
        <w:t>L’associé unique donne tous pouvoirs au liquidateur pour déposer au greffe les comptes définitifs, la présente décision, l’attestation de vigilance et le certificat fiscal (C. com., art. R. 237-7), faire publier l’avis de clôture (C. com., art. R. 237-8) et demander la radiation de la société dans le mois de cette publication (C. com., art. R. 123-75).</w:t>
      </w:r>
    </w:p>
    <w:p>
      <w:pPr>
        <w:spacing w:after="240" w:before="0"/>
      </w:pPr>
      <w:r>
        <w:rPr>
          <w:rFonts w:ascii="Calibri" w:hAnsi="Calibri" w:eastAsia="Calibri"/>
          <w:b/>
          <w:sz w:val="22"/>
        </w:rPr>
        <w:t>Cette décision est prise par l’associé unique.</w:t>
      </w:r>
    </w:p>
    <w:p>
      <w:pPr>
        <w:spacing w:after="320" w:before="0"/>
        <w:jc w:val="both"/>
      </w:pPr>
      <w:r>
        <w:rPr>
          <w:rFonts w:ascii="Calibri" w:hAnsi="Calibri" w:eastAsia="Calibri"/>
          <w:sz w:val="22"/>
        </w:rPr>
        <w:t>De tout ce que dessus, il a été dressé le présent procès-verbal, signé par l’associé unique et par le liquidateur, et consigné dans le registre des décisions de l’associé unique.</w:t>
      </w:r>
    </w:p>
    <w:p>
      <w:pPr>
        <w:spacing w:after="40" w:before="0"/>
      </w:pPr>
      <w:r>
        <w:rPr>
          <w:rFonts w:ascii="Calibri" w:hAnsi="Calibri" w:eastAsia="Calibri"/>
          <w:b/>
          <w:sz w:val="22"/>
        </w:rPr>
        <w:t>L’associé unique</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 liquidateur</w:t>
      </w:r>
    </w:p>
    <w:p>
      <w:pPr>
        <w:spacing w:after="280" w:before="0"/>
      </w:pPr>
      <w:r>
        <w:rPr>
          <w:rFonts w:ascii="Calibri" w:hAnsi="Calibri" w:eastAsia="Calibri"/>
          <w:sz w:val="22"/>
          <w:highlight w:val="yellow"/>
        </w:rPr>
        <w:t>[Prénom NOM — signature]</w:t>
      </w:r>
    </w:p>
    <w:p>
      <w:r>
        <w:br w:type="page"/>
      </w:r>
    </w:p>
    <w:p>
      <w:pPr>
        <w:spacing w:after="80" w:before="0"/>
      </w:pPr>
      <w:r>
        <w:rPr>
          <w:rFonts w:ascii="Calibri" w:hAnsi="Calibri" w:eastAsia="Calibri"/>
          <w:b/>
          <w:sz w:val="24"/>
        </w:rPr>
        <w:t>ANNEXE — Projet d’avis de clôture de la liquidation</w:t>
      </w:r>
    </w:p>
    <w:p>
      <w:pPr>
        <w:spacing w:after="200" w:before="0"/>
        <w:jc w:val="both"/>
      </w:pPr>
      <w:r>
        <w:rPr>
          <w:rFonts w:ascii="Calibri" w:hAnsi="Calibri" w:eastAsia="Calibri"/>
          <w:i/>
          <w:color w:val="4B5563"/>
          <w:sz w:val="22"/>
        </w:rPr>
        <w:t>Contenu exigé par l’article R. 237-8 du code de commerce.</w:t>
      </w:r>
    </w:p>
    <w:p>
      <w:pPr>
        <w:spacing w:after="160" w:before="0"/>
        <w:jc w:val="both"/>
      </w:pPr>
      <w:r>
        <w:rPr>
          <w:rFonts w:ascii="Calibri" w:hAnsi="Calibri" w:eastAsia="Calibri"/>
          <w:b/>
          <w:sz w:val="22"/>
          <w:highlight w:val="yellow"/>
        </w:rPr>
        <w:t>[DÉNOMINATION]</w:t>
      </w:r>
      <w:r>
        <w:rPr>
          <w:rFonts w:ascii="Calibri" w:hAnsi="Calibri" w:eastAsia="Calibri"/>
          <w:sz w:val="22"/>
        </w:rPr>
        <w:t xml:space="preserve"> — </w:t>
      </w:r>
      <w:r>
        <w:rPr>
          <w:rFonts w:ascii="Calibri" w:hAnsi="Calibri" w:eastAsia="Calibri"/>
          <w:sz w:val="22"/>
          <w:highlight w:val="yellow"/>
        </w:rPr>
        <w:t>[EURL / SASU]</w:t>
      </w:r>
      <w:r>
        <w:rPr>
          <w:rFonts w:ascii="Calibri" w:hAnsi="Calibri" w:eastAsia="Calibri"/>
          <w:sz w:val="22"/>
        </w:rPr>
        <w:t xml:space="preserve"> en liquidation au capital de </w:t>
      </w:r>
      <w:r>
        <w:rPr>
          <w:rFonts w:ascii="Calibri" w:hAnsi="Calibri" w:eastAsia="Calibri"/>
          <w:sz w:val="22"/>
          <w:highlight w:val="yellow"/>
        </w:rPr>
        <w:t>[montant]</w:t>
      </w:r>
      <w:r>
        <w:rPr>
          <w:rFonts w:ascii="Calibri" w:hAnsi="Calibri" w:eastAsia="Calibri"/>
          <w:sz w:val="22"/>
        </w:rPr>
        <w:t xml:space="preserve"> € — Siège social : </w:t>
      </w:r>
      <w:r>
        <w:rPr>
          <w:rFonts w:ascii="Calibri" w:hAnsi="Calibri" w:eastAsia="Calibri"/>
          <w:sz w:val="22"/>
          <w:highlight w:val="yellow"/>
        </w:rPr>
        <w:t>[adresse]</w:t>
      </w:r>
      <w:r>
        <w:rPr>
          <w:rFonts w:ascii="Calibri" w:hAnsi="Calibri" w:eastAsia="Calibri"/>
          <w:sz w:val="22"/>
        </w:rPr>
        <w:t xml:space="preserve"> — </w:t>
      </w: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r>
        <w:rPr>
          <w:rFonts w:ascii="Calibri" w:hAnsi="Calibri" w:eastAsia="Calibri"/>
          <w:sz w:val="22"/>
        </w:rPr>
        <w:t>.</w:t>
      </w:r>
    </w:p>
    <w:p>
      <w:pPr>
        <w:spacing w:after="160" w:before="0"/>
        <w:jc w:val="both"/>
      </w:pPr>
      <w:r>
        <w:rPr>
          <w:rFonts w:ascii="Calibri" w:hAnsi="Calibri" w:eastAsia="Calibri"/>
          <w:sz w:val="22"/>
        </w:rPr>
        <w:t xml:space="preserve">Par décision du </w:t>
      </w:r>
      <w:r>
        <w:rPr>
          <w:rFonts w:ascii="Calibri" w:hAnsi="Calibri" w:eastAsia="Calibri"/>
          <w:sz w:val="22"/>
          <w:highlight w:val="yellow"/>
        </w:rPr>
        <w:t>[date]</w:t>
      </w:r>
      <w:r>
        <w:rPr>
          <w:rFonts w:ascii="Calibri" w:hAnsi="Calibri" w:eastAsia="Calibri"/>
          <w:sz w:val="22"/>
        </w:rPr>
        <w:t xml:space="preserve"> prise à </w:t>
      </w:r>
      <w:r>
        <w:rPr>
          <w:rFonts w:ascii="Calibri" w:hAnsi="Calibri" w:eastAsia="Calibri"/>
          <w:sz w:val="22"/>
          <w:highlight w:val="yellow"/>
        </w:rPr>
        <w:t>[lieu]</w:t>
      </w:r>
      <w:r>
        <w:rPr>
          <w:rFonts w:ascii="Calibri" w:hAnsi="Calibri" w:eastAsia="Calibri"/>
          <w:sz w:val="22"/>
        </w:rPr>
        <w:t xml:space="preserve">, l’associé unique a approuvé les comptes définitifs de liquidation, donné quitus au liquidateur, </w:t>
      </w:r>
      <w:r>
        <w:rPr>
          <w:rFonts w:ascii="Calibri" w:hAnsi="Calibri" w:eastAsia="Calibri"/>
          <w:sz w:val="22"/>
          <w:highlight w:val="yellow"/>
        </w:rPr>
        <w:t>[Prénom usuel NOM]</w:t>
      </w:r>
      <w:r>
        <w:rPr>
          <w:rFonts w:ascii="Calibri" w:hAnsi="Calibri" w:eastAsia="Calibri"/>
          <w:sz w:val="22"/>
        </w:rPr>
        <w:t xml:space="preserve">, demeurant </w:t>
      </w:r>
      <w:r>
        <w:rPr>
          <w:rFonts w:ascii="Calibri" w:hAnsi="Calibri" w:eastAsia="Calibri"/>
          <w:sz w:val="22"/>
          <w:highlight w:val="yellow"/>
        </w:rPr>
        <w:t>[domicile]</w:t>
      </w:r>
      <w:r>
        <w:rPr>
          <w:rFonts w:ascii="Calibri" w:hAnsi="Calibri" w:eastAsia="Calibri"/>
          <w:sz w:val="22"/>
        </w:rPr>
        <w:t xml:space="preserve">, l’a déchargé de son mandat et a constaté la clôture de la liquidation. Les comptes du liquidateur sont déposés au greffe </w:t>
      </w:r>
      <w:r>
        <w:rPr>
          <w:rFonts w:ascii="Calibri" w:hAnsi="Calibri" w:eastAsia="Calibri"/>
          <w:sz w:val="22"/>
          <w:highlight w:val="yellow"/>
        </w:rPr>
        <w:t>[du tribunal qui tient le registre de la société]</w:t>
      </w:r>
      <w:r>
        <w:rPr>
          <w:rFonts w:ascii="Calibri" w:hAnsi="Calibri" w:eastAsia="Calibri"/>
          <w:sz w:val="22"/>
        </w:rPr>
        <w:t xml:space="preserve"> de </w:t>
      </w:r>
      <w:r>
        <w:rPr>
          <w:rFonts w:ascii="Calibri" w:hAnsi="Calibri" w:eastAsia="Calibri"/>
          <w:sz w:val="22"/>
          <w:highlight w:val="yellow"/>
        </w:rPr>
        <w:t>[ville]</w:t>
      </w:r>
      <w:r>
        <w:rPr>
          <w:rFonts w:ascii="Calibri" w:hAnsi="Calibri" w:eastAsia="Calibri"/>
          <w:sz w:val="22"/>
        </w:rPr>
        <w:t>.</w:t>
      </w:r>
    </w:p>
    <w:p>
      <w:pPr>
        <w:spacing w:after="200" w:before="0"/>
        <w:jc w:val="both"/>
      </w:pPr>
      <w:r>
        <w:rPr>
          <w:rFonts w:ascii="Calibri" w:hAnsi="Calibri" w:eastAsia="Calibri"/>
          <w:sz w:val="22"/>
        </w:rPr>
        <w:t>Pour avis, le liquidateur.</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Ce modèle clôture la liquidation d’une EURL ou d’une SASU dont l’associé unique est une personne physique (dissolution suivie de liquidation). Consignez-le dans le registre des décisions (C. com., art. L. 223-31 ou L. 227-9).</w:t>
      </w:r>
    </w:p>
    <w:p>
      <w:pPr>
        <w:spacing w:after="100" w:before="0"/>
        <w:jc w:val="both"/>
      </w:pPr>
      <w:r>
        <w:rPr>
          <w:rFonts w:ascii="Calibri" w:hAnsi="Calibri" w:eastAsia="Calibri"/>
          <w:color w:val="374151"/>
          <w:sz w:val="20"/>
        </w:rPr>
        <w:t>• Ne clôturez pas tant qu’une dette reste impayée : en cas d’insuffisance d’actif pour payer les créanciers, une procédure collective doit être demandée (C. com., art. L. 631-4).</w:t>
      </w:r>
    </w:p>
    <w:p>
      <w:pPr>
        <w:spacing w:after="100" w:before="0"/>
        <w:jc w:val="both"/>
      </w:pPr>
      <w:r>
        <w:rPr>
          <w:rFonts w:ascii="Calibri" w:hAnsi="Calibri" w:eastAsia="Calibri"/>
          <w:color w:val="374151"/>
          <w:sz w:val="20"/>
        </w:rPr>
        <w:t>• Droit de partage : selon service-public (F23744), le boni de liquidation d’une SASU ou d’une EURL n’est pas soumis à la taxation de 2,50 % appliquée lors de l’enregistrement du procès-verbal de liquidation ; ce droit vise les partages entre coassociés (CGI, art. 746). Cette exemption ne concerne que ce droit d’enregistrement.</w:t>
      </w:r>
    </w:p>
    <w:p>
      <w:pPr>
        <w:spacing w:after="100" w:before="0"/>
        <w:jc w:val="both"/>
      </w:pPr>
      <w:r>
        <w:rPr>
          <w:rFonts w:ascii="Calibri" w:hAnsi="Calibri" w:eastAsia="Calibri"/>
          <w:color w:val="374151"/>
          <w:sz w:val="20"/>
        </w:rPr>
        <w:t>• Impôt sur le revenu : si l’associé unique est une personne physique, le boni attribué en sus de son apport peut entrer dans les bases de son impôt sur le revenu, dans la limite prévue par l’article 161 du code général des impôts ; son traitement dépend du régime fiscal de la société. Faites chiffrer cette imposition par votre comptable ou votre avocat avant la clôture.</w:t>
      </w:r>
    </w:p>
    <w:p>
      <w:pPr>
        <w:spacing w:after="100" w:before="0"/>
        <w:jc w:val="both"/>
      </w:pPr>
      <w:r>
        <w:rPr>
          <w:rFonts w:ascii="Calibri" w:hAnsi="Calibri" w:eastAsia="Calibri"/>
          <w:color w:val="374151"/>
          <w:sz w:val="20"/>
        </w:rPr>
        <w:t>• Dépôt au greffe (C. com., art. R. 237-7) : comptes définitifs, présente décision, attestation de vigilance de l’Urssaf (ou attestation d’entreprise sans salarié) et certificat fiscal délivré par le service des impôts des entreprises. Prévoyez le délai d’obtention de ces deux pièces.</w:t>
      </w:r>
    </w:p>
    <w:p>
      <w:pPr>
        <w:spacing w:after="100" w:before="0"/>
        <w:jc w:val="both"/>
      </w:pPr>
      <w:r>
        <w:rPr>
          <w:rFonts w:ascii="Calibri" w:hAnsi="Calibri" w:eastAsia="Calibri"/>
          <w:color w:val="374151"/>
          <w:sz w:val="20"/>
        </w:rPr>
        <w:t>• Avis de clôture : forfait 2026 de 111 € HT en métropole (arrêté du 19 novembre 2021 modifié). Radiation dans le mois de la publication de la clôture (C. com., art. R. 123-75).</w:t>
      </w:r>
    </w:p>
    <w:p>
      <w:pPr>
        <w:spacing w:after="100" w:before="0"/>
        <w:jc w:val="both"/>
      </w:pPr>
      <w:r>
        <w:rPr>
          <w:rFonts w:ascii="Calibri" w:hAnsi="Calibri" w:eastAsia="Calibri"/>
          <w:color w:val="374151"/>
          <w:sz w:val="20"/>
        </w:rPr>
        <w:t>• Selon service-public (F23744), la déclaration de résultat du dernier exercice est due dans les soixante jours de l’approbation des comptes définitifs.</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Conservez l’original signé au siège (registre des décisions ou registre des procès-verbaux).</w:t>
      </w:r>
    </w:p>
    <w:p>
      <w:pPr>
        <w:spacing w:after="100" w:before="0"/>
        <w:jc w:val="both"/>
      </w:pPr>
      <w:r>
        <w:rPr>
          <w:rFonts w:ascii="Calibri" w:hAnsi="Calibri" w:eastAsia="Calibri"/>
          <w:color w:val="374151"/>
          <w:sz w:val="20"/>
        </w:rPr>
        <w:t>• Ce modèle est une base de travail : il ne remplace pas un conseil adapté à la situation de la société. Faites relire l’acte par un avocat avant signature, en particulier si la société a des dettes, des salariés, des biens immobiliers, un litige en cours ou plusieurs associés en désaccord.</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Décision de l’associé unique — clôture de la liquidation (EURL / SASU)</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