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[DÉNOMINATION SOCIALE]</w:t>
      </w:r>
    </w:p>
    <w:p>
      <w:pPr>
        <w:spacing w:after="0" w:before="0"/>
      </w:pPr>
      <w:r>
        <w:rPr>
          <w:rFonts w:ascii="Calibri" w:hAnsi="Calibri" w:eastAsia="Calibri"/>
          <w:sz w:val="22"/>
        </w:rPr>
        <w:t xml:space="preserve">Société à responsabilité limitée au capital de </w:t>
      </w:r>
      <w:r>
        <w:rPr>
          <w:rFonts w:ascii="Calibri" w:hAnsi="Calibri" w:eastAsia="Calibri"/>
          <w:sz w:val="22"/>
          <w:highlight w:val="yellow"/>
        </w:rPr>
        <w:t>[montant]</w:t>
      </w:r>
      <w:r>
        <w:rPr>
          <w:rFonts w:ascii="Calibri" w:hAnsi="Calibri" w:eastAsia="Calibri"/>
          <w:sz w:val="22"/>
        </w:rPr>
        <w:t xml:space="preserve"> €</w:t>
      </w:r>
    </w:p>
    <w:p>
      <w:pPr>
        <w:spacing w:after="0" w:before="0"/>
      </w:pPr>
      <w:r>
        <w:rPr>
          <w:rFonts w:ascii="Calibri" w:hAnsi="Calibri" w:eastAsia="Calibri"/>
          <w:sz w:val="22"/>
        </w:rPr>
        <w:t xml:space="preserve">Siège social : </w:t>
      </w:r>
      <w:r>
        <w:rPr>
          <w:rFonts w:ascii="Calibri" w:hAnsi="Calibri" w:eastAsia="Calibri"/>
          <w:sz w:val="22"/>
          <w:highlight w:val="yellow"/>
        </w:rPr>
        <w:t>[adresse]</w:t>
      </w:r>
    </w:p>
    <w:p>
      <w:pPr>
        <w:spacing w:after="0" w:before="0"/>
      </w:pPr>
      <w:r>
        <w:rPr>
          <w:rFonts w:ascii="Calibri" w:hAnsi="Calibri" w:eastAsia="Calibri"/>
          <w:sz w:val="22"/>
          <w:highlight w:val="yellow"/>
        </w:rPr>
        <w:t>[RCS Ville]</w:t>
      </w:r>
      <w:r>
        <w:rPr>
          <w:rFonts w:ascii="Calibri" w:hAnsi="Calibri" w:eastAsia="Calibri"/>
          <w:sz w:val="22"/>
        </w:rPr>
        <w:t xml:space="preserve"> n° </w:t>
      </w:r>
      <w:r>
        <w:rPr>
          <w:rFonts w:ascii="Calibri" w:hAnsi="Calibri" w:eastAsia="Calibri"/>
          <w:sz w:val="22"/>
          <w:highlight w:val="yellow"/>
        </w:rPr>
        <w:t>[SIREN]</w:t>
      </w:r>
    </w:p>
    <w:p>
      <w:pPr>
        <w:spacing w:after="80"/>
      </w:pPr>
    </w:p>
    <w:p>
      <w:pPr>
        <w:spacing w:after="0" w:before="0"/>
        <w:ind w:left="5102"/>
      </w:pPr>
      <w:r>
        <w:rPr>
          <w:rFonts w:ascii="Calibri" w:hAnsi="Calibri" w:eastAsia="Calibri"/>
          <w:b/>
          <w:sz w:val="22"/>
          <w:highlight w:val="yellow"/>
        </w:rPr>
        <w:t>[Madame / Monsieur Prénom NOM]</w:t>
      </w:r>
    </w:p>
    <w:p>
      <w:pPr>
        <w:spacing w:after="0" w:before="0"/>
        <w:ind w:left="5102"/>
      </w:pPr>
      <w:r>
        <w:rPr>
          <w:rFonts w:ascii="Calibri" w:hAnsi="Calibri" w:eastAsia="Calibri"/>
          <w:sz w:val="22"/>
          <w:highlight w:val="yellow"/>
        </w:rPr>
        <w:t>[Associé(e) de la société / Usufruitier(ère) de … parts / Nu-propriétaire de … parts / Mandataire de l’indivision titulaire de … parts]</w:t>
      </w:r>
    </w:p>
    <w:p>
      <w:pPr>
        <w:spacing w:after="0" w:before="0"/>
        <w:ind w:left="5102"/>
      </w:pPr>
      <w:r>
        <w:rPr>
          <w:rFonts w:ascii="Calibri" w:hAnsi="Calibri" w:eastAsia="Calibri"/>
          <w:sz w:val="22"/>
          <w:highlight w:val="yellow"/>
        </w:rPr>
        <w:t>[Adresse]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 d’envoi — quinze jours au moins avant l’assemblée]</w:t>
      </w:r>
    </w:p>
    <w:p>
      <w:pPr>
        <w:spacing w:after="40" w:before="0"/>
      </w:pPr>
      <w:r>
        <w:rPr>
          <w:rFonts w:ascii="Calibri" w:hAnsi="Calibri" w:eastAsia="Calibri"/>
          <w:b/>
          <w:sz w:val="22"/>
        </w:rPr>
        <w:t xml:space="preserve">Lettre recommandée </w:t>
      </w:r>
      <w:r>
        <w:rPr>
          <w:rFonts w:ascii="Calibri" w:hAnsi="Calibri" w:eastAsia="Calibri"/>
          <w:b/>
          <w:sz w:val="22"/>
          <w:highlight w:val="yellow"/>
        </w:rPr>
        <w:t>[avec demande d’avis de réception, conseillée pour la preuve]</w:t>
      </w:r>
    </w:p>
    <w:p>
      <w:pPr>
        <w:spacing w:after="40" w:before="0"/>
      </w:pPr>
      <w:r>
        <w:rPr>
          <w:rFonts w:ascii="Calibri" w:hAnsi="Calibri" w:eastAsia="Calibri"/>
          <w:sz w:val="19"/>
          <w:highlight w:val="yellow"/>
        </w:rPr>
        <w:t>[Ou, pour l’associé qui a donné son accord écrit à la communication électronique : envoi à l’adresse électronique qu’il a indiquée]</w:t>
      </w:r>
    </w:p>
    <w:p>
      <w:pPr>
        <w:spacing w:after="240" w:before="0"/>
      </w:pPr>
      <w:r>
        <w:rPr>
          <w:rFonts w:ascii="Calibri" w:hAnsi="Calibri" w:eastAsia="Calibri"/>
          <w:b/>
          <w:sz w:val="22"/>
        </w:rPr>
        <w:t xml:space="preserve">Objet : convocation à l’assemblée générale ordinaire annuelle du </w:t>
      </w:r>
      <w:r>
        <w:rPr>
          <w:rFonts w:ascii="Calibri" w:hAnsi="Calibri" w:eastAsia="Calibri"/>
          <w:b/>
          <w:sz w:val="22"/>
          <w:highlight w:val="yellow"/>
        </w:rPr>
        <w:t>[date]</w:t>
      </w:r>
      <w:r>
        <w:rPr>
          <w:rFonts w:ascii="Calibri" w:hAnsi="Calibri" w:eastAsia="Calibri"/>
          <w:b/>
          <w:sz w:val="22"/>
        </w:rPr>
        <w:t xml:space="preserve"> — comptes de l’exercice clos le </w:t>
      </w:r>
      <w:r>
        <w:rPr>
          <w:rFonts w:ascii="Calibri" w:hAnsi="Calibri" w:eastAsia="Calibri"/>
          <w:b/>
          <w:sz w:val="22"/>
          <w:highlight w:val="yellow"/>
        </w:rPr>
        <w:t>[date]</w:t>
      </w:r>
    </w:p>
    <w:p>
      <w:pPr>
        <w:spacing w:after="160" w:before="0"/>
      </w:pPr>
      <w:r>
        <w:rPr>
          <w:rFonts w:ascii="Calibri" w:hAnsi="Calibri" w:eastAsia="Calibri"/>
          <w:sz w:val="22"/>
        </w:rPr>
        <w:t>Madame, Monsieur,</w:t>
      </w:r>
    </w:p>
    <w:p>
      <w:pPr>
        <w:spacing w:after="120" w:before="0"/>
        <w:jc w:val="both"/>
      </w:pPr>
      <w:r>
        <w:rPr>
          <w:rFonts w:ascii="Calibri" w:hAnsi="Calibri" w:eastAsia="Calibri"/>
          <w:sz w:val="22"/>
        </w:rPr>
        <w:t xml:space="preserve">En ma qualité de gérant de la société </w:t>
      </w:r>
      <w:r>
        <w:rPr>
          <w:rFonts w:ascii="Calibri" w:hAnsi="Calibri" w:eastAsia="Calibri"/>
          <w:sz w:val="22"/>
          <w:highlight w:val="yellow"/>
        </w:rPr>
        <w:t>[dénomination]</w:t>
      </w:r>
      <w:r>
        <w:rPr>
          <w:rFonts w:ascii="Calibri" w:hAnsi="Calibri" w:eastAsia="Calibri"/>
          <w:sz w:val="22"/>
        </w:rPr>
        <w:t xml:space="preserve">, j’ai l’honneur de vous convoquer à l’assemblée générale ordinaire annuelle des associés, qui se tiendra le </w:t>
      </w:r>
      <w:r>
        <w:rPr>
          <w:rFonts w:ascii="Calibri" w:hAnsi="Calibri" w:eastAsia="Calibri"/>
          <w:sz w:val="22"/>
          <w:highlight w:val="yellow"/>
        </w:rPr>
        <w:t>[jour et date]</w:t>
      </w:r>
      <w:r>
        <w:rPr>
          <w:rFonts w:ascii="Calibri" w:hAnsi="Calibri" w:eastAsia="Calibri"/>
          <w:sz w:val="22"/>
        </w:rPr>
        <w:t xml:space="preserve"> à </w:t>
      </w:r>
      <w:r>
        <w:rPr>
          <w:rFonts w:ascii="Calibri" w:hAnsi="Calibri" w:eastAsia="Calibri"/>
          <w:sz w:val="22"/>
          <w:highlight w:val="yellow"/>
        </w:rPr>
        <w:t>[heure]</w:t>
      </w:r>
      <w:r>
        <w:rPr>
          <w:rFonts w:ascii="Calibri" w:hAnsi="Calibri" w:eastAsia="Calibri"/>
          <w:sz w:val="22"/>
        </w:rPr>
        <w:t xml:space="preserve">, </w:t>
      </w:r>
      <w:r>
        <w:rPr>
          <w:rFonts w:ascii="Calibri" w:hAnsi="Calibri" w:eastAsia="Calibri"/>
          <w:sz w:val="22"/>
          <w:highlight w:val="yellow"/>
        </w:rPr>
        <w:t>[au siège social / à l’adresse suivante : …]</w:t>
      </w:r>
      <w:r>
        <w:rPr>
          <w:rFonts w:ascii="Calibri" w:hAnsi="Calibri" w:eastAsia="Calibri"/>
          <w:sz w:val="22"/>
        </w:rPr>
        <w:t>, à l’effet de délibérer sur l’ordre du jour suivant :</w:t>
      </w:r>
    </w:p>
    <w:p>
      <w:pPr>
        <w:spacing w:after="40" w:before="0"/>
        <w:ind w:left="510" w:hanging="283"/>
        <w:jc w:val="both"/>
      </w:pPr>
      <w:r>
        <w:rPr>
          <w:rFonts w:ascii="Calibri" w:hAnsi="Calibri" w:eastAsia="Calibri"/>
          <w:sz w:val="22"/>
        </w:rPr>
        <w:t xml:space="preserve">1. </w:t>
      </w:r>
      <w:r>
        <w:rPr>
          <w:rFonts w:ascii="Calibri" w:hAnsi="Calibri" w:eastAsia="Calibri"/>
          <w:sz w:val="22"/>
        </w:rPr>
        <w:t xml:space="preserve">Rapport de gestion de la gérance sur l’exercice clos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[à supprimer si la société est dispensée d’établir un rapport de gestion]</w:t>
      </w:r>
      <w:r>
        <w:rPr>
          <w:rFonts w:ascii="Calibri" w:hAnsi="Calibri" w:eastAsia="Calibri"/>
          <w:sz w:val="22"/>
        </w:rPr>
        <w:t xml:space="preserve"> </w:t>
      </w:r>
      <w:r>
        <w:rPr>
          <w:rFonts w:ascii="Calibri" w:hAnsi="Calibri" w:eastAsia="Calibri"/>
          <w:sz w:val="22"/>
          <w:highlight w:val="yellow"/>
        </w:rPr>
        <w:t>[et rapport du commissaire aux comptes sur les comptes annuels]</w:t>
      </w:r>
      <w:r>
        <w:rPr>
          <w:rFonts w:ascii="Calibri" w:hAnsi="Calibri" w:eastAsia="Calibri"/>
          <w:sz w:val="22"/>
        </w:rPr>
        <w:t xml:space="preserve"> ;</w:t>
      </w:r>
    </w:p>
    <w:p>
      <w:pPr>
        <w:spacing w:after="40" w:before="0"/>
        <w:ind w:left="510" w:hanging="283"/>
        <w:jc w:val="both"/>
      </w:pPr>
      <w:r>
        <w:rPr>
          <w:rFonts w:ascii="Calibri" w:hAnsi="Calibri" w:eastAsia="Calibri"/>
          <w:sz w:val="22"/>
        </w:rPr>
        <w:t xml:space="preserve">2. </w:t>
      </w:r>
      <w:r>
        <w:rPr>
          <w:rFonts w:ascii="Calibri" w:hAnsi="Calibri" w:eastAsia="Calibri"/>
          <w:sz w:val="22"/>
        </w:rPr>
        <w:t xml:space="preserve">Approbation des comptes annuels (bilan, compte de résultat et annexe) de l’exercice clos le </w:t>
      </w:r>
      <w:r>
        <w:rPr>
          <w:rFonts w:ascii="Calibri" w:hAnsi="Calibri" w:eastAsia="Calibri"/>
          <w:sz w:val="22"/>
          <w:highlight w:val="yellow"/>
        </w:rPr>
        <w:t>[date]</w:t>
      </w:r>
      <w:r>
        <w:rPr>
          <w:rFonts w:ascii="Calibri" w:hAnsi="Calibri" w:eastAsia="Calibri"/>
          <w:sz w:val="22"/>
        </w:rPr>
        <w:t xml:space="preserve"> ;</w:t>
      </w:r>
    </w:p>
    <w:p>
      <w:pPr>
        <w:spacing w:after="40" w:before="0"/>
        <w:ind w:left="510" w:hanging="283"/>
        <w:jc w:val="both"/>
      </w:pPr>
      <w:r>
        <w:rPr>
          <w:rFonts w:ascii="Calibri" w:hAnsi="Calibri" w:eastAsia="Calibri"/>
          <w:sz w:val="22"/>
        </w:rPr>
        <w:t xml:space="preserve">3. </w:t>
      </w:r>
      <w:r>
        <w:rPr>
          <w:rFonts w:ascii="Calibri" w:hAnsi="Calibri" w:eastAsia="Calibri"/>
          <w:sz w:val="22"/>
          <w:highlight w:val="yellow"/>
        </w:rPr>
        <w:t>[Le cas échéant :]</w:t>
      </w:r>
      <w:r>
        <w:rPr>
          <w:rFonts w:ascii="Calibri" w:hAnsi="Calibri" w:eastAsia="Calibri"/>
          <w:sz w:val="22"/>
        </w:rPr>
        <w:t xml:space="preserve"> approbation des dépenses et charges non déductibles visées à l’article 39, 4 du code général des impôts ;</w:t>
      </w:r>
    </w:p>
    <w:p>
      <w:pPr>
        <w:spacing w:after="40" w:before="0"/>
        <w:ind w:left="510" w:hanging="283"/>
        <w:jc w:val="both"/>
      </w:pPr>
      <w:r>
        <w:rPr>
          <w:rFonts w:ascii="Calibri" w:hAnsi="Calibri" w:eastAsia="Calibri"/>
          <w:sz w:val="22"/>
        </w:rPr>
        <w:t xml:space="preserve">4. </w:t>
      </w:r>
      <w:r>
        <w:rPr>
          <w:rFonts w:ascii="Calibri" w:hAnsi="Calibri" w:eastAsia="Calibri"/>
          <w:sz w:val="22"/>
        </w:rPr>
        <w:t xml:space="preserve">Quitus </w:t>
      </w:r>
      <w:r>
        <w:rPr>
          <w:rFonts w:ascii="Calibri" w:hAnsi="Calibri" w:eastAsia="Calibri"/>
          <w:sz w:val="22"/>
          <w:highlight w:val="yellow"/>
        </w:rPr>
        <w:t>[au gérant / aux gérants]</w:t>
      </w:r>
      <w:r>
        <w:rPr>
          <w:rFonts w:ascii="Calibri" w:hAnsi="Calibri" w:eastAsia="Calibri"/>
          <w:sz w:val="22"/>
        </w:rPr>
        <w:t xml:space="preserve"> pour l’exercice écoulé ;</w:t>
      </w:r>
    </w:p>
    <w:p>
      <w:pPr>
        <w:spacing w:after="40" w:before="0"/>
        <w:ind w:left="510" w:hanging="283"/>
        <w:jc w:val="both"/>
      </w:pPr>
      <w:r>
        <w:rPr>
          <w:rFonts w:ascii="Calibri" w:hAnsi="Calibri" w:eastAsia="Calibri"/>
          <w:sz w:val="22"/>
        </w:rPr>
        <w:t xml:space="preserve">5. </w:t>
      </w:r>
      <w:r>
        <w:rPr>
          <w:rFonts w:ascii="Calibri" w:hAnsi="Calibri" w:eastAsia="Calibri"/>
          <w:sz w:val="22"/>
        </w:rPr>
        <w:t xml:space="preserve">Affectation du résultat de l’exercice </w:t>
      </w:r>
      <w:r>
        <w:rPr>
          <w:rFonts w:ascii="Calibri" w:hAnsi="Calibri" w:eastAsia="Calibri"/>
          <w:sz w:val="22"/>
          <w:highlight w:val="yellow"/>
        </w:rPr>
        <w:t>[et, le cas échéant, distribution d’un dividende de … € par part sociale]</w:t>
      </w:r>
      <w:r>
        <w:rPr>
          <w:rFonts w:ascii="Calibri" w:hAnsi="Calibri" w:eastAsia="Calibri"/>
          <w:sz w:val="22"/>
        </w:rPr>
        <w:t xml:space="preserve"> ;</w:t>
      </w:r>
    </w:p>
    <w:p>
      <w:pPr>
        <w:spacing w:after="40" w:before="0"/>
        <w:ind w:left="510" w:hanging="283"/>
        <w:jc w:val="both"/>
      </w:pPr>
      <w:r>
        <w:rPr>
          <w:rFonts w:ascii="Calibri" w:hAnsi="Calibri" w:eastAsia="Calibri"/>
          <w:sz w:val="22"/>
        </w:rPr>
        <w:t xml:space="preserve">6. </w:t>
      </w:r>
      <w:r>
        <w:rPr>
          <w:rFonts w:ascii="Calibri" w:hAnsi="Calibri" w:eastAsia="Calibri"/>
          <w:sz w:val="22"/>
        </w:rPr>
        <w:t>Rapport sur les conventions visées à l’article L. 223-19 du code de commerce et approbation de ces conventions ;</w:t>
      </w:r>
    </w:p>
    <w:p>
      <w:pPr>
        <w:spacing w:after="40" w:before="0"/>
        <w:ind w:left="510" w:hanging="283"/>
        <w:jc w:val="both"/>
      </w:pPr>
      <w:r>
        <w:rPr>
          <w:rFonts w:ascii="Calibri" w:hAnsi="Calibri" w:eastAsia="Calibri"/>
          <w:sz w:val="22"/>
        </w:rPr>
        <w:t xml:space="preserve">7. </w:t>
      </w:r>
      <w:r>
        <w:rPr>
          <w:rFonts w:ascii="Calibri" w:hAnsi="Calibri" w:eastAsia="Calibri"/>
          <w:sz w:val="22"/>
          <w:highlight w:val="yellow"/>
        </w:rPr>
        <w:t>[Autre point, libellé de façon que son contenu et sa portée apparaissent clairement — par exemple : renouvellement du mandat de gérant de M./Mme … pour une durée de … ans]</w:t>
      </w:r>
      <w:r>
        <w:rPr>
          <w:rFonts w:ascii="Calibri" w:hAnsi="Calibri" w:eastAsia="Calibri"/>
          <w:sz w:val="22"/>
        </w:rPr>
        <w:t xml:space="preserve"> ;</w:t>
      </w:r>
    </w:p>
    <w:p>
      <w:pPr>
        <w:spacing w:after="40" w:before="0"/>
        <w:ind w:left="510" w:hanging="283"/>
        <w:jc w:val="both"/>
      </w:pPr>
      <w:r>
        <w:rPr>
          <w:rFonts w:ascii="Calibri" w:hAnsi="Calibri" w:eastAsia="Calibri"/>
          <w:sz w:val="22"/>
        </w:rPr>
        <w:t xml:space="preserve">8. </w:t>
      </w:r>
      <w:r>
        <w:rPr>
          <w:rFonts w:ascii="Calibri" w:hAnsi="Calibri" w:eastAsia="Calibri"/>
          <w:sz w:val="22"/>
        </w:rPr>
        <w:t>Pouvoirs pour l’accomplissement des formalités.</w:t>
      </w:r>
    </w:p>
    <w:p>
      <w:pPr>
        <w:spacing w:after="120"/>
      </w:pPr>
    </w:p>
    <w:p>
      <w:pPr>
        <w:spacing w:after="120" w:before="0"/>
      </w:pPr>
      <w:r>
        <w:rPr>
          <w:rFonts w:ascii="Calibri" w:hAnsi="Calibri" w:eastAsia="Calibri"/>
          <w:b/>
          <w:sz w:val="22"/>
        </w:rPr>
        <w:t>Documents joints</w:t>
      </w:r>
    </w:p>
    <w:p>
      <w:pPr>
        <w:spacing w:after="80" w:before="0"/>
        <w:jc w:val="both"/>
      </w:pPr>
      <w:r>
        <w:rPr>
          <w:rFonts w:ascii="Calibri" w:hAnsi="Calibri" w:eastAsia="Calibri"/>
          <w:sz w:val="22"/>
        </w:rPr>
        <w:t>Vous trouverez ci-joints les documents suivants, qui vous sont adressés quinze jours au moins avant la date de l’assemblée :</w:t>
      </w:r>
    </w:p>
    <w:p>
      <w:pPr>
        <w:spacing w:after="60" w:before="0"/>
        <w:jc w:val="both"/>
      </w:pPr>
      <w:r>
        <w:rPr>
          <w:rFonts w:ascii="Calibri" w:hAnsi="Calibri" w:eastAsia="Calibri"/>
          <w:sz w:val="22"/>
        </w:rPr>
        <w:t xml:space="preserve">☐ </w:t>
      </w:r>
      <w:r>
        <w:rPr>
          <w:rFonts w:ascii="Calibri" w:hAnsi="Calibri" w:eastAsia="Calibri"/>
          <w:sz w:val="22"/>
        </w:rPr>
        <w:t>les comptes annuels de l’exercice (bilan, compte de résultat et annexe) ;</w:t>
      </w:r>
    </w:p>
    <w:p>
      <w:pPr>
        <w:spacing w:after="60" w:before="0"/>
        <w:jc w:val="both"/>
      </w:pPr>
      <w:r>
        <w:rPr>
          <w:rFonts w:ascii="Calibri" w:hAnsi="Calibri" w:eastAsia="Calibri"/>
          <w:sz w:val="22"/>
        </w:rPr>
        <w:t xml:space="preserve">☐ </w:t>
      </w:r>
      <w:r>
        <w:rPr>
          <w:rFonts w:ascii="Calibri" w:hAnsi="Calibri" w:eastAsia="Calibri"/>
          <w:sz w:val="22"/>
        </w:rPr>
        <w:t xml:space="preserve">le rapport de gestion de la gérance </w:t>
      </w:r>
      <w:r>
        <w:rPr>
          <w:rFonts w:ascii="Calibri" w:hAnsi="Calibri" w:eastAsia="Calibri"/>
          <w:sz w:val="22"/>
          <w:highlight w:val="yellow"/>
        </w:rPr>
        <w:t>[si la société en établit un]</w:t>
      </w:r>
      <w:r>
        <w:rPr>
          <w:rFonts w:ascii="Calibri" w:hAnsi="Calibri" w:eastAsia="Calibri"/>
          <w:sz w:val="22"/>
        </w:rPr>
        <w:t xml:space="preserve"> ;</w:t>
      </w:r>
    </w:p>
    <w:p>
      <w:pPr>
        <w:spacing w:after="60" w:before="0"/>
        <w:jc w:val="both"/>
      </w:pPr>
      <w:r>
        <w:rPr>
          <w:rFonts w:ascii="Calibri" w:hAnsi="Calibri" w:eastAsia="Calibri"/>
          <w:sz w:val="22"/>
        </w:rPr>
        <w:t xml:space="preserve">☐ </w:t>
      </w:r>
      <w:r>
        <w:rPr>
          <w:rFonts w:ascii="Calibri" w:hAnsi="Calibri" w:eastAsia="Calibri"/>
          <w:sz w:val="22"/>
        </w:rPr>
        <w:t>le texte des résolutions proposées (annexe 1) ;</w:t>
      </w:r>
    </w:p>
    <w:p>
      <w:pPr>
        <w:spacing w:after="60" w:before="0"/>
        <w:jc w:val="both"/>
      </w:pPr>
      <w:r>
        <w:rPr>
          <w:rFonts w:ascii="Calibri" w:hAnsi="Calibri" w:eastAsia="Calibri"/>
          <w:sz w:val="22"/>
        </w:rPr>
        <w:t xml:space="preserve">☐ </w:t>
      </w:r>
      <w:r>
        <w:rPr>
          <w:rFonts w:ascii="Calibri" w:hAnsi="Calibri" w:eastAsia="Calibri"/>
          <w:sz w:val="22"/>
          <w:highlight w:val="yellow"/>
        </w:rPr>
        <w:t>[le cas échéant :]</w:t>
      </w:r>
      <w:r>
        <w:rPr>
          <w:rFonts w:ascii="Calibri" w:hAnsi="Calibri" w:eastAsia="Calibri"/>
          <w:sz w:val="22"/>
        </w:rPr>
        <w:t xml:space="preserve"> le rapport du commissaire aux comptes sur les comptes annuels ;</w:t>
      </w:r>
    </w:p>
    <w:p>
      <w:pPr>
        <w:spacing w:after="60" w:before="0"/>
        <w:jc w:val="both"/>
      </w:pPr>
      <w:r>
        <w:rPr>
          <w:rFonts w:ascii="Calibri" w:hAnsi="Calibri" w:eastAsia="Calibri"/>
          <w:sz w:val="22"/>
        </w:rPr>
        <w:t xml:space="preserve">☐ </w:t>
      </w:r>
      <w:r>
        <w:rPr>
          <w:rFonts w:ascii="Calibri" w:hAnsi="Calibri" w:eastAsia="Calibri"/>
          <w:sz w:val="22"/>
          <w:highlight w:val="yellow"/>
        </w:rPr>
        <w:t>[le cas échéant :]</w:t>
      </w:r>
      <w:r>
        <w:rPr>
          <w:rFonts w:ascii="Calibri" w:hAnsi="Calibri" w:eastAsia="Calibri"/>
          <w:sz w:val="22"/>
        </w:rPr>
        <w:t xml:space="preserve"> les comptes consolidés, le rapport sur la gestion du groupe, le rapport du commissaire aux comptes sur les comptes consolidés et le rapport de certification des informations en matière de durabilité ;</w:t>
      </w:r>
    </w:p>
    <w:p>
      <w:pPr>
        <w:spacing w:after="60" w:before="0"/>
        <w:jc w:val="both"/>
      </w:pPr>
      <w:r>
        <w:rPr>
          <w:rFonts w:ascii="Calibri" w:hAnsi="Calibri" w:eastAsia="Calibri"/>
          <w:sz w:val="22"/>
        </w:rPr>
        <w:t xml:space="preserve">☐ </w:t>
      </w:r>
      <w:r>
        <w:rPr>
          <w:rFonts w:ascii="Calibri" w:hAnsi="Calibri" w:eastAsia="Calibri"/>
          <w:sz w:val="22"/>
        </w:rPr>
        <w:t>le rapport sur les conventions visées à l’article L. 223-19 du code de commerce ;</w:t>
      </w:r>
    </w:p>
    <w:p>
      <w:pPr>
        <w:spacing w:after="60" w:before="0"/>
        <w:jc w:val="both"/>
      </w:pPr>
      <w:r>
        <w:rPr>
          <w:rFonts w:ascii="Calibri" w:hAnsi="Calibri" w:eastAsia="Calibri"/>
          <w:sz w:val="22"/>
        </w:rPr>
        <w:t xml:space="preserve">☐ </w:t>
      </w:r>
      <w:r>
        <w:rPr>
          <w:rFonts w:ascii="Calibri" w:hAnsi="Calibri" w:eastAsia="Calibri"/>
          <w:sz w:val="22"/>
        </w:rPr>
        <w:t xml:space="preserve">un formulaire de pouvoir </w:t>
      </w:r>
      <w:r>
        <w:rPr>
          <w:rFonts w:ascii="Calibri" w:hAnsi="Calibri" w:eastAsia="Calibri"/>
          <w:sz w:val="22"/>
          <w:highlight w:val="yellow"/>
        </w:rPr>
        <w:t>[et, si les statuts l’admettent, un formulaire de vote par correspondance (annexe 2)]</w:t>
      </w:r>
      <w:r>
        <w:rPr>
          <w:rFonts w:ascii="Calibri" w:hAnsi="Calibri" w:eastAsia="Calibri"/>
          <w:sz w:val="22"/>
        </w:rPr>
        <w:t xml:space="preserve"> ;</w:t>
      </w:r>
    </w:p>
    <w:p>
      <w:pPr>
        <w:spacing w:after="120" w:before="0"/>
        <w:jc w:val="both"/>
      </w:pPr>
      <w:r>
        <w:rPr>
          <w:rFonts w:ascii="Calibri" w:hAnsi="Calibri" w:eastAsia="Calibri"/>
          <w:sz w:val="22"/>
        </w:rPr>
        <w:t xml:space="preserve">☐ </w:t>
      </w:r>
      <w:r>
        <w:rPr>
          <w:rFonts w:ascii="Calibri" w:hAnsi="Calibri" w:eastAsia="Calibri"/>
          <w:sz w:val="22"/>
        </w:rPr>
        <w:t>un formulaire d’accord pour la communication électronique, valable pour les prochaines assemblées (annexe 3).</w:t>
      </w:r>
    </w:p>
    <w:p>
      <w:pPr>
        <w:spacing w:after="160" w:before="0"/>
        <w:jc w:val="both"/>
      </w:pPr>
      <w:r>
        <w:rPr>
          <w:rFonts w:ascii="Calibri" w:hAnsi="Calibri" w:eastAsia="Calibri"/>
          <w:sz w:val="22"/>
        </w:rPr>
        <w:t>L’inventaire est tenu à votre disposition au siège social pendant les quinze jours qui précèdent l’assemblée ; vous pouvez le consulter, mais non en prendre copie.</w:t>
      </w:r>
    </w:p>
    <w:p>
      <w:pPr>
        <w:spacing w:after="120" w:before="0"/>
      </w:pPr>
      <w:r>
        <w:rPr>
          <w:rFonts w:ascii="Calibri" w:hAnsi="Calibri" w:eastAsia="Calibri"/>
          <w:b/>
          <w:sz w:val="22"/>
        </w:rPr>
        <w:t>Questions écrites</w:t>
      </w:r>
    </w:p>
    <w:p>
      <w:pPr>
        <w:spacing w:after="160" w:before="0"/>
        <w:jc w:val="both"/>
      </w:pPr>
      <w:r>
        <w:rPr>
          <w:rFonts w:ascii="Calibri" w:hAnsi="Calibri" w:eastAsia="Calibri"/>
          <w:sz w:val="22"/>
        </w:rPr>
        <w:t xml:space="preserve">À compter de la réception des présents documents, vous pouvez poser par écrit des questions, auxquelles la gérance répondra au cours de l’assemblée. Pour faciliter la préparation des réponses, je vous remercie de les adresser </w:t>
      </w:r>
      <w:r>
        <w:rPr>
          <w:rFonts w:ascii="Calibri" w:hAnsi="Calibri" w:eastAsia="Calibri"/>
          <w:sz w:val="22"/>
          <w:highlight w:val="yellow"/>
        </w:rPr>
        <w:t>[par lettre recommandée au siège / par courrier électronique à …]</w:t>
      </w:r>
      <w:r>
        <w:rPr>
          <w:rFonts w:ascii="Calibri" w:hAnsi="Calibri" w:eastAsia="Calibri"/>
          <w:sz w:val="22"/>
        </w:rPr>
        <w:t xml:space="preserve">, </w:t>
      </w:r>
      <w:r>
        <w:rPr>
          <w:rFonts w:ascii="Calibri" w:hAnsi="Calibri" w:eastAsia="Calibri"/>
          <w:sz w:val="22"/>
          <w:highlight w:val="yellow"/>
        </w:rPr>
        <w:t>[si possible avant le …]</w:t>
      </w:r>
      <w:r>
        <w:rPr>
          <w:rFonts w:ascii="Calibri" w:hAnsi="Calibri" w:eastAsia="Calibri"/>
          <w:sz w:val="22"/>
        </w:rPr>
        <w:t>.</w:t>
      </w:r>
    </w:p>
    <w:p>
      <w:pPr>
        <w:spacing w:after="120" w:before="0"/>
      </w:pPr>
      <w:r>
        <w:rPr>
          <w:rFonts w:ascii="Calibri" w:hAnsi="Calibri" w:eastAsia="Calibri"/>
          <w:b/>
          <w:sz w:val="22"/>
        </w:rPr>
        <w:t>Représentation et modes de participation</w:t>
      </w:r>
    </w:p>
    <w:p>
      <w:pPr>
        <w:spacing w:after="80" w:before="0"/>
        <w:jc w:val="both"/>
      </w:pPr>
      <w:r>
        <w:rPr>
          <w:rFonts w:ascii="Calibri" w:hAnsi="Calibri" w:eastAsia="Calibri"/>
          <w:sz w:val="22"/>
        </w:rPr>
        <w:t>Si vous ne pouvez pas assister à l’assemblée, vous pouvez vous faire représenter au moyen du pouvoir ci-joint :</w:t>
      </w:r>
    </w:p>
    <w:p>
      <w:pPr>
        <w:spacing w:after="40" w:before="0"/>
        <w:jc w:val="both"/>
      </w:pPr>
      <w:r>
        <w:rPr>
          <w:rFonts w:ascii="Calibri" w:hAnsi="Calibri" w:eastAsia="Calibri"/>
          <w:sz w:val="22"/>
        </w:rPr>
        <w:t xml:space="preserve">– </w:t>
      </w:r>
      <w:r>
        <w:rPr>
          <w:rFonts w:ascii="Calibri" w:hAnsi="Calibri" w:eastAsia="Calibri"/>
          <w:sz w:val="22"/>
        </w:rPr>
        <w:t>par votre conjoint, sauf si la société ne comprend que les deux époux ;</w:t>
      </w:r>
    </w:p>
    <w:p>
      <w:pPr>
        <w:spacing w:after="40" w:before="0"/>
        <w:jc w:val="both"/>
      </w:pPr>
      <w:r>
        <w:rPr>
          <w:rFonts w:ascii="Calibri" w:hAnsi="Calibri" w:eastAsia="Calibri"/>
          <w:sz w:val="22"/>
        </w:rPr>
        <w:t xml:space="preserve">– </w:t>
      </w:r>
      <w:r>
        <w:rPr>
          <w:rFonts w:ascii="Calibri" w:hAnsi="Calibri" w:eastAsia="Calibri"/>
          <w:sz w:val="22"/>
        </w:rPr>
        <w:t>par un autre associé, sauf si la société ne compte que deux associés ;</w:t>
      </w:r>
    </w:p>
    <w:p>
      <w:pPr>
        <w:spacing w:after="120" w:before="0"/>
        <w:jc w:val="both"/>
      </w:pPr>
      <w:r>
        <w:rPr>
          <w:rFonts w:ascii="Calibri" w:hAnsi="Calibri" w:eastAsia="Calibri"/>
          <w:sz w:val="22"/>
        </w:rPr>
        <w:t xml:space="preserve">– </w:t>
      </w:r>
      <w:r>
        <w:rPr>
          <w:rFonts w:ascii="Calibri" w:hAnsi="Calibri" w:eastAsia="Calibri"/>
          <w:sz w:val="22"/>
        </w:rPr>
        <w:t xml:space="preserve">par une autre personne, uniquement si les statuts le permettent </w:t>
      </w:r>
      <w:r>
        <w:rPr>
          <w:rFonts w:ascii="Calibri" w:hAnsi="Calibri" w:eastAsia="Calibri"/>
          <w:sz w:val="22"/>
          <w:highlight w:val="yellow"/>
        </w:rPr>
        <w:t>[article … des statuts — à compléter ou à supprimer]</w:t>
      </w:r>
      <w:r>
        <w:rPr>
          <w:rFonts w:ascii="Calibri" w:hAnsi="Calibri" w:eastAsia="Calibri"/>
          <w:sz w:val="22"/>
        </w:rPr>
        <w:t>.</w:t>
      </w:r>
    </w:p>
    <w:p>
      <w:pPr>
        <w:spacing w:after="160" w:before="0"/>
        <w:jc w:val="both"/>
      </w:pPr>
      <w:r>
        <w:rPr>
          <w:rFonts w:ascii="Calibri" w:hAnsi="Calibri" w:eastAsia="Calibri"/>
          <w:sz w:val="22"/>
        </w:rPr>
        <w:t>Vous ne pouvez pas voter en personne pour une partie de vos parts et par mandataire pour l’autre partie.</w:t>
      </w:r>
    </w:p>
    <w:p>
      <w:pPr>
        <w:spacing w:after="160" w:before="0"/>
        <w:jc w:val="both"/>
      </w:pPr>
      <w:r>
        <w:rPr>
          <w:rFonts w:ascii="Calibri" w:hAnsi="Calibri" w:eastAsia="Calibri"/>
          <w:sz w:val="22"/>
          <w:highlight w:val="yellow"/>
        </w:rPr>
        <w:t>[Si les statuts admettent le vote par correspondance :]</w:t>
      </w:r>
      <w:r>
        <w:rPr>
          <w:rFonts w:ascii="Calibri" w:hAnsi="Calibri" w:eastAsia="Calibri"/>
          <w:sz w:val="22"/>
        </w:rPr>
        <w:t xml:space="preserve"> vous pouvez aussi voter par correspondance au moyen du formulaire ci-joint (annexe 2), qui doit parvenir à la société au plus tard le </w:t>
      </w:r>
      <w:r>
        <w:rPr>
          <w:rFonts w:ascii="Calibri" w:hAnsi="Calibri" w:eastAsia="Calibri"/>
          <w:sz w:val="22"/>
          <w:highlight w:val="yellow"/>
        </w:rPr>
        <w:t>[date]</w:t>
      </w:r>
      <w:r>
        <w:rPr>
          <w:rFonts w:ascii="Calibri" w:hAnsi="Calibri" w:eastAsia="Calibri"/>
          <w:sz w:val="22"/>
        </w:rPr>
        <w:t>.</w:t>
      </w:r>
    </w:p>
    <w:p>
      <w:pPr>
        <w:spacing w:after="200" w:before="0"/>
        <w:jc w:val="both"/>
      </w:pPr>
      <w:r>
        <w:rPr>
          <w:rFonts w:ascii="Calibri" w:hAnsi="Calibri" w:eastAsia="Calibri"/>
          <w:sz w:val="22"/>
          <w:highlight w:val="yellow"/>
        </w:rPr>
        <w:t>[Si les statuts prévoient la participation par visioconférence ou par un autre moyen de télécommunication :]</w:t>
      </w:r>
      <w:r>
        <w:rPr>
          <w:rFonts w:ascii="Calibri" w:hAnsi="Calibri" w:eastAsia="Calibri"/>
          <w:sz w:val="22"/>
        </w:rPr>
        <w:t xml:space="preserve"> les associés qui participent de cette manière ne sont pas réputés présents, pour le calcul de la majorité, lorsque l’assemblée délibère sur les comptes annuels. Si vous ne pouvez pas être physiquement présent, donnez pouvoir pour l’ensemble de l’assemblée </w:t>
      </w:r>
      <w:r>
        <w:rPr>
          <w:rFonts w:ascii="Calibri" w:hAnsi="Calibri" w:eastAsia="Calibri"/>
          <w:sz w:val="22"/>
          <w:highlight w:val="yellow"/>
        </w:rPr>
        <w:t>[ou, puisque les statuts l’admettent, votez par correspondance]</w:t>
      </w:r>
      <w:r>
        <w:rPr>
          <w:rFonts w:ascii="Calibri" w:hAnsi="Calibri" w:eastAsia="Calibri"/>
          <w:sz w:val="22"/>
        </w:rPr>
        <w:t>, sans cumuler les modes de participation.</w:t>
      </w:r>
    </w:p>
    <w:p>
      <w:pPr>
        <w:spacing w:after="360" w:before="0"/>
        <w:jc w:val="both"/>
      </w:pPr>
      <w:r>
        <w:rPr>
          <w:rFonts w:ascii="Calibri" w:hAnsi="Calibri" w:eastAsia="Calibri"/>
          <w:sz w:val="22"/>
        </w:rPr>
        <w:t>Je vous prie d’agréer, Madame, Monsieur, l’expression de mes salutations distinguées.</w:t>
      </w:r>
    </w:p>
    <w:p>
      <w:pPr>
        <w:spacing w:after="0" w:before="0"/>
        <w:ind w:left="5102"/>
      </w:pPr>
      <w:r>
        <w:rPr>
          <w:rFonts w:ascii="Calibri" w:hAnsi="Calibri" w:eastAsia="Calibri"/>
          <w:sz w:val="22"/>
        </w:rPr>
        <w:t>Pour la société, le gérant</w:t>
      </w:r>
    </w:p>
    <w:p>
      <w:pPr>
        <w:spacing w:after="320" w:before="0"/>
        <w:ind w:left="5102"/>
      </w:pPr>
      <w:r>
        <w:rPr>
          <w:rFonts w:ascii="Calibri" w:hAnsi="Calibri" w:eastAsia="Calibri"/>
          <w:sz w:val="22"/>
          <w:highlight w:val="yellow"/>
        </w:rPr>
        <w:t>[Prénom NOM — signature]</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Comptes annuels de l’exercice clos le </w:t>
      </w:r>
      <w:r>
        <w:rPr>
          <w:rFonts w:ascii="Calibri" w:hAnsi="Calibri" w:eastAsia="Calibri"/>
          <w:sz w:val="22"/>
          <w:highlight w:val="yellow"/>
        </w:rPr>
        <w:t>[date]</w:t>
      </w:r>
    </w:p>
    <w:p>
      <w:pPr>
        <w:spacing w:after="20" w:before="0"/>
        <w:ind w:left="510" w:hanging="283"/>
      </w:pPr>
      <w:r>
        <w:rPr>
          <w:rFonts w:ascii="Calibri" w:hAnsi="Calibri" w:eastAsia="Calibri"/>
          <w:sz w:val="22"/>
        </w:rPr>
        <w:t xml:space="preserve">– </w:t>
      </w:r>
      <w:r>
        <w:rPr>
          <w:rFonts w:ascii="Calibri" w:hAnsi="Calibri" w:eastAsia="Calibri"/>
          <w:sz w:val="22"/>
          <w:highlight w:val="yellow"/>
        </w:rPr>
        <w:t>[Rapport de gestion]</w:t>
      </w:r>
    </w:p>
    <w:p>
      <w:pPr>
        <w:spacing w:after="20" w:before="0"/>
        <w:ind w:left="510" w:hanging="283"/>
      </w:pPr>
      <w:r>
        <w:rPr>
          <w:rFonts w:ascii="Calibri" w:hAnsi="Calibri" w:eastAsia="Calibri"/>
          <w:sz w:val="22"/>
        </w:rPr>
        <w:t xml:space="preserve">– </w:t>
      </w:r>
      <w:r>
        <w:rPr>
          <w:rFonts w:ascii="Calibri" w:hAnsi="Calibri" w:eastAsia="Calibri"/>
          <w:sz w:val="22"/>
        </w:rPr>
        <w:t>Annexe 1 — Texte des résolutions proposées</w:t>
      </w:r>
    </w:p>
    <w:p>
      <w:pPr>
        <w:spacing w:after="20" w:before="0"/>
        <w:ind w:left="510" w:hanging="283"/>
      </w:pPr>
      <w:r>
        <w:rPr>
          <w:rFonts w:ascii="Calibri" w:hAnsi="Calibri" w:eastAsia="Calibri"/>
          <w:sz w:val="22"/>
        </w:rPr>
        <w:t xml:space="preserve">– </w:t>
      </w:r>
      <w:r>
        <w:rPr>
          <w:rFonts w:ascii="Calibri" w:hAnsi="Calibri" w:eastAsia="Calibri"/>
          <w:sz w:val="22"/>
          <w:highlight w:val="yellow"/>
        </w:rPr>
        <w:t>[Rapport du commissaire aux comptes]</w:t>
      </w:r>
    </w:p>
    <w:p>
      <w:pPr>
        <w:spacing w:after="20" w:before="0"/>
        <w:ind w:left="510" w:hanging="283"/>
      </w:pPr>
      <w:r>
        <w:rPr>
          <w:rFonts w:ascii="Calibri" w:hAnsi="Calibri" w:eastAsia="Calibri"/>
          <w:sz w:val="22"/>
        </w:rPr>
        <w:t xml:space="preserve">– </w:t>
      </w:r>
      <w:r>
        <w:rPr>
          <w:rFonts w:ascii="Calibri" w:hAnsi="Calibri" w:eastAsia="Calibri"/>
          <w:sz w:val="22"/>
          <w:highlight w:val="yellow"/>
        </w:rPr>
        <w:t>[Le cas échéant : comptes consolidés, rapport sur la gestion du groupe, rapport du commissaire aux comptes sur les comptes consolidés, rapport de certification des informations en matière de durabilité]</w:t>
      </w:r>
    </w:p>
    <w:p>
      <w:pPr>
        <w:spacing w:after="20" w:before="0"/>
        <w:ind w:left="510" w:hanging="283"/>
      </w:pPr>
      <w:r>
        <w:rPr>
          <w:rFonts w:ascii="Calibri" w:hAnsi="Calibri" w:eastAsia="Calibri"/>
          <w:sz w:val="22"/>
        </w:rPr>
        <w:t xml:space="preserve">– </w:t>
      </w:r>
      <w:r>
        <w:rPr>
          <w:rFonts w:ascii="Calibri" w:hAnsi="Calibri" w:eastAsia="Calibri"/>
          <w:sz w:val="22"/>
        </w:rPr>
        <w:t>Rapport sur les conventions (art. L. 223-19 du code de commerce)</w:t>
      </w:r>
    </w:p>
    <w:p>
      <w:pPr>
        <w:spacing w:after="20" w:before="0"/>
        <w:ind w:left="510" w:hanging="283"/>
      </w:pPr>
      <w:r>
        <w:rPr>
          <w:rFonts w:ascii="Calibri" w:hAnsi="Calibri" w:eastAsia="Calibri"/>
          <w:sz w:val="22"/>
        </w:rPr>
        <w:t xml:space="preserve">– </w:t>
      </w:r>
      <w:r>
        <w:rPr>
          <w:rFonts w:ascii="Calibri" w:hAnsi="Calibri" w:eastAsia="Calibri"/>
          <w:sz w:val="22"/>
        </w:rPr>
        <w:t>Pouvoir</w:t>
      </w:r>
    </w:p>
    <w:p>
      <w:pPr>
        <w:spacing w:after="20" w:before="0"/>
        <w:ind w:left="510" w:hanging="283"/>
      </w:pPr>
      <w:r>
        <w:rPr>
          <w:rFonts w:ascii="Calibri" w:hAnsi="Calibri" w:eastAsia="Calibri"/>
          <w:sz w:val="22"/>
        </w:rPr>
        <w:t xml:space="preserve">– </w:t>
      </w:r>
      <w:r>
        <w:rPr>
          <w:rFonts w:ascii="Calibri" w:hAnsi="Calibri" w:eastAsia="Calibri"/>
          <w:sz w:val="22"/>
          <w:highlight w:val="yellow"/>
        </w:rPr>
        <w:t>[Annexe 2 — Formulaire de vote par correspondance]</w:t>
      </w:r>
    </w:p>
    <w:p>
      <w:pPr>
        <w:spacing w:after="20" w:before="0"/>
        <w:ind w:left="510" w:hanging="283"/>
      </w:pPr>
      <w:r>
        <w:rPr>
          <w:rFonts w:ascii="Calibri" w:hAnsi="Calibri" w:eastAsia="Calibri"/>
          <w:sz w:val="22"/>
        </w:rPr>
        <w:t xml:space="preserve">– </w:t>
      </w:r>
      <w:r>
        <w:rPr>
          <w:rFonts w:ascii="Calibri" w:hAnsi="Calibri" w:eastAsia="Calibri"/>
          <w:sz w:val="22"/>
        </w:rPr>
        <w:t>Annexe 3 — Accord pour la communication électronique</w:t>
      </w:r>
    </w:p>
    <w:p>
      <w:r>
        <w:br w:type="page"/>
      </w:r>
    </w:p>
    <w:p>
      <w:pPr>
        <w:spacing w:after="40" w:before="0"/>
        <w:jc w:val="center"/>
      </w:pPr>
      <w:r>
        <w:rPr>
          <w:rFonts w:ascii="Calibri" w:hAnsi="Calibri" w:eastAsia="Calibri"/>
          <w:b/>
          <w:sz w:val="24"/>
        </w:rPr>
        <w:t>ANNEXE 1 — TEXTE DES RÉSOLUTIONS PROPOSÉES</w:t>
      </w:r>
    </w:p>
    <w:p>
      <w:pPr>
        <w:spacing w:after="240" w:before="0"/>
        <w:jc w:val="center"/>
      </w:pPr>
      <w:r>
        <w:rPr>
          <w:rFonts w:ascii="Calibri" w:hAnsi="Calibri" w:eastAsia="Calibri"/>
          <w:sz w:val="22"/>
        </w:rPr>
        <w:t xml:space="preserve">Assemblée générale ordinaire annuelle du </w:t>
      </w:r>
      <w:r>
        <w:rPr>
          <w:rFonts w:ascii="Calibri" w:hAnsi="Calibri" w:eastAsia="Calibri"/>
          <w:sz w:val="22"/>
          <w:highlight w:val="yellow"/>
        </w:rPr>
        <w:t>[date]</w:t>
      </w:r>
    </w:p>
    <w:p>
      <w:pPr>
        <w:spacing w:after="60" w:before="0"/>
      </w:pPr>
      <w:r>
        <w:rPr>
          <w:rFonts w:ascii="Calibri" w:hAnsi="Calibri" w:eastAsia="Calibri"/>
          <w:b/>
          <w:sz w:val="22"/>
        </w:rPr>
        <w:t>Première résolution — Approbation des comptes</w:t>
      </w:r>
    </w:p>
    <w:p>
      <w:pPr>
        <w:spacing w:after="160" w:before="0"/>
        <w:jc w:val="both"/>
      </w:pPr>
      <w:r>
        <w:rPr>
          <w:rFonts w:ascii="Calibri" w:hAnsi="Calibri" w:eastAsia="Calibri"/>
          <w:sz w:val="22"/>
        </w:rPr>
        <w:t xml:space="preserve">L’assemblée générale, après avoir pris connaissance </w:t>
      </w:r>
      <w:r>
        <w:rPr>
          <w:rFonts w:ascii="Calibri" w:hAnsi="Calibri" w:eastAsia="Calibri"/>
          <w:sz w:val="22"/>
          <w:highlight w:val="yellow"/>
        </w:rPr>
        <w:t>[du rapport de gestion de la gérance,]</w:t>
      </w:r>
      <w:r>
        <w:rPr>
          <w:rFonts w:ascii="Calibri" w:hAnsi="Calibri" w:eastAsia="Calibri"/>
          <w:sz w:val="22"/>
        </w:rPr>
        <w:t xml:space="preserve"> </w:t>
      </w:r>
      <w:r>
        <w:rPr>
          <w:rFonts w:ascii="Calibri" w:hAnsi="Calibri" w:eastAsia="Calibri"/>
          <w:sz w:val="22"/>
          <w:highlight w:val="yellow"/>
        </w:rPr>
        <w:t>[du rapport du commissaire aux comptes]</w:t>
      </w:r>
      <w:r>
        <w:rPr>
          <w:rFonts w:ascii="Calibri" w:hAnsi="Calibri" w:eastAsia="Calibri"/>
          <w:sz w:val="22"/>
        </w:rPr>
        <w:t xml:space="preserve"> et des comptes annuels de l’exercice clos le </w:t>
      </w:r>
      <w:r>
        <w:rPr>
          <w:rFonts w:ascii="Calibri" w:hAnsi="Calibri" w:eastAsia="Calibri"/>
          <w:sz w:val="22"/>
          <w:highlight w:val="yellow"/>
        </w:rPr>
        <w:t>[date]</w:t>
      </w:r>
      <w:r>
        <w:rPr>
          <w:rFonts w:ascii="Calibri" w:hAnsi="Calibri" w:eastAsia="Calibri"/>
          <w:sz w:val="22"/>
        </w:rPr>
        <w:t xml:space="preserve">, approuve ces comptes tels qu’ils lui ont été présentés, faisant apparaître </w:t>
      </w:r>
      <w:r>
        <w:rPr>
          <w:rFonts w:ascii="Calibri" w:hAnsi="Calibri" w:eastAsia="Calibri"/>
          <w:sz w:val="22"/>
          <w:highlight w:val="yellow"/>
        </w:rPr>
        <w:t>[un bénéfice / une perte]</w:t>
      </w:r>
      <w:r>
        <w:rPr>
          <w:rFonts w:ascii="Calibri" w:hAnsi="Calibri" w:eastAsia="Calibri"/>
          <w:sz w:val="22"/>
        </w:rPr>
        <w:t xml:space="preserve"> de </w:t>
      </w:r>
      <w:r>
        <w:rPr>
          <w:rFonts w:ascii="Calibri" w:hAnsi="Calibri" w:eastAsia="Calibri"/>
          <w:sz w:val="22"/>
          <w:highlight w:val="yellow"/>
        </w:rPr>
        <w:t>[montant]</w:t>
      </w:r>
      <w:r>
        <w:rPr>
          <w:rFonts w:ascii="Calibri" w:hAnsi="Calibri" w:eastAsia="Calibri"/>
          <w:sz w:val="22"/>
        </w:rPr>
        <w:t xml:space="preserve"> €.</w:t>
      </w:r>
    </w:p>
    <w:p>
      <w:pPr>
        <w:spacing w:after="60" w:before="0"/>
      </w:pPr>
      <w:r>
        <w:rPr>
          <w:rFonts w:ascii="Calibri" w:hAnsi="Calibri" w:eastAsia="Calibri"/>
          <w:b/>
          <w:sz w:val="22"/>
        </w:rPr>
        <w:t>Deuxième résolution — Dépenses non déductibles</w:t>
      </w:r>
    </w:p>
    <w:p>
      <w:pPr>
        <w:spacing w:after="160" w:before="0"/>
        <w:jc w:val="both"/>
      </w:pPr>
      <w:r>
        <w:rPr>
          <w:rFonts w:ascii="Calibri" w:hAnsi="Calibri" w:eastAsia="Calibri"/>
          <w:sz w:val="22"/>
          <w:highlight w:val="yellow"/>
        </w:rPr>
        <w:t>[Le cas échéant :]</w:t>
      </w:r>
      <w:r>
        <w:rPr>
          <w:rFonts w:ascii="Calibri" w:hAnsi="Calibri" w:eastAsia="Calibri"/>
          <w:sz w:val="22"/>
        </w:rPr>
        <w:t xml:space="preserve"> En application de l’article 223 quater du code général des impôts, l’assemblée approuve le montant global des dépenses et charges visées à l’article 39, 4 du même code, soit </w:t>
      </w:r>
      <w:r>
        <w:rPr>
          <w:rFonts w:ascii="Calibri" w:hAnsi="Calibri" w:eastAsia="Calibri"/>
          <w:sz w:val="22"/>
          <w:highlight w:val="yellow"/>
        </w:rPr>
        <w:t>[montant]</w:t>
      </w:r>
      <w:r>
        <w:rPr>
          <w:rFonts w:ascii="Calibri" w:hAnsi="Calibri" w:eastAsia="Calibri"/>
          <w:sz w:val="22"/>
        </w:rPr>
        <w:t xml:space="preserve"> €, ainsi que l’impôt supporté en raison de ces dépenses et charges, soit </w:t>
      </w:r>
      <w:r>
        <w:rPr>
          <w:rFonts w:ascii="Calibri" w:hAnsi="Calibri" w:eastAsia="Calibri"/>
          <w:sz w:val="22"/>
          <w:highlight w:val="yellow"/>
        </w:rPr>
        <w:t>[montant]</w:t>
      </w:r>
      <w:r>
        <w:rPr>
          <w:rFonts w:ascii="Calibri" w:hAnsi="Calibri" w:eastAsia="Calibri"/>
          <w:sz w:val="22"/>
        </w:rPr>
        <w:t xml:space="preserve"> €.</w:t>
      </w:r>
    </w:p>
    <w:p>
      <w:pPr>
        <w:spacing w:after="60" w:before="0"/>
      </w:pPr>
      <w:r>
        <w:rPr>
          <w:rFonts w:ascii="Calibri" w:hAnsi="Calibri" w:eastAsia="Calibri"/>
          <w:b/>
          <w:sz w:val="22"/>
        </w:rPr>
        <w:t>Troisième résolution — Quitus</w:t>
      </w:r>
    </w:p>
    <w:p>
      <w:pPr>
        <w:spacing w:after="160" w:before="0"/>
        <w:jc w:val="both"/>
      </w:pPr>
      <w:r>
        <w:rPr>
          <w:rFonts w:ascii="Calibri" w:hAnsi="Calibri" w:eastAsia="Calibri"/>
          <w:sz w:val="22"/>
        </w:rPr>
        <w:t xml:space="preserve">L’assemblée donne quitus </w:t>
      </w:r>
      <w:r>
        <w:rPr>
          <w:rFonts w:ascii="Calibri" w:hAnsi="Calibri" w:eastAsia="Calibri"/>
          <w:sz w:val="22"/>
          <w:highlight w:val="yellow"/>
        </w:rPr>
        <w:t>[au gérant / aux gérants]</w:t>
      </w:r>
      <w:r>
        <w:rPr>
          <w:rFonts w:ascii="Calibri" w:hAnsi="Calibri" w:eastAsia="Calibri"/>
          <w:sz w:val="22"/>
        </w:rPr>
        <w:t xml:space="preserve"> de l’exécution de </w:t>
      </w:r>
      <w:r>
        <w:rPr>
          <w:rFonts w:ascii="Calibri" w:hAnsi="Calibri" w:eastAsia="Calibri"/>
          <w:sz w:val="22"/>
          <w:highlight w:val="yellow"/>
        </w:rPr>
        <w:t>[son / leur]</w:t>
      </w:r>
      <w:r>
        <w:rPr>
          <w:rFonts w:ascii="Calibri" w:hAnsi="Calibri" w:eastAsia="Calibri"/>
          <w:sz w:val="22"/>
        </w:rPr>
        <w:t xml:space="preserve"> mandat pour l’exercice écoulé.</w:t>
      </w:r>
    </w:p>
    <w:p>
      <w:pPr>
        <w:spacing w:after="60" w:before="0"/>
      </w:pPr>
      <w:r>
        <w:rPr>
          <w:rFonts w:ascii="Calibri" w:hAnsi="Calibri" w:eastAsia="Calibri"/>
          <w:b/>
          <w:sz w:val="22"/>
        </w:rPr>
        <w:t>Quatrième résolution — Affectation du résultat</w:t>
      </w:r>
    </w:p>
    <w:p>
      <w:pPr>
        <w:spacing w:after="80" w:before="0"/>
        <w:jc w:val="both"/>
      </w:pPr>
      <w:r>
        <w:rPr>
          <w:rFonts w:ascii="Calibri" w:hAnsi="Calibri" w:eastAsia="Calibri"/>
          <w:sz w:val="22"/>
        </w:rPr>
        <w:t xml:space="preserve">L’assemblée décide d’affecter </w:t>
      </w:r>
      <w:r>
        <w:rPr>
          <w:rFonts w:ascii="Calibri" w:hAnsi="Calibri" w:eastAsia="Calibri"/>
          <w:sz w:val="22"/>
          <w:highlight w:val="yellow"/>
        </w:rPr>
        <w:t>[le bénéfice / la perte]</w:t>
      </w:r>
      <w:r>
        <w:rPr>
          <w:rFonts w:ascii="Calibri" w:hAnsi="Calibri" w:eastAsia="Calibri"/>
          <w:sz w:val="22"/>
        </w:rPr>
        <w:t xml:space="preserve"> de l’exercice, soit </w:t>
      </w:r>
      <w:r>
        <w:rPr>
          <w:rFonts w:ascii="Calibri" w:hAnsi="Calibri" w:eastAsia="Calibri"/>
          <w:sz w:val="22"/>
          <w:highlight w:val="yellow"/>
        </w:rPr>
        <w:t>[montant]</w:t>
      </w:r>
      <w:r>
        <w:rPr>
          <w:rFonts w:ascii="Calibri" w:hAnsi="Calibri" w:eastAsia="Calibri"/>
          <w:sz w:val="22"/>
        </w:rPr>
        <w:t xml:space="preserve"> €, de la manière suivante : </w:t>
      </w:r>
      <w:r>
        <w:rPr>
          <w:rFonts w:ascii="Calibri" w:hAnsi="Calibri" w:eastAsia="Calibri"/>
          <w:sz w:val="22"/>
          <w:highlight w:val="yellow"/>
        </w:rPr>
        <w:t>[réserve légale : … € ; autres réserves : … € ; dividendes : … €, soit … € par part ; report à nouveau : … €]</w:t>
      </w:r>
      <w:r>
        <w:rPr>
          <w:rFonts w:ascii="Calibri" w:hAnsi="Calibri" w:eastAsia="Calibri"/>
          <w:sz w:val="22"/>
        </w:rPr>
        <w:t xml:space="preserve">. Le dividende sera mis en paiement le </w:t>
      </w:r>
      <w:r>
        <w:rPr>
          <w:rFonts w:ascii="Calibri" w:hAnsi="Calibri" w:eastAsia="Calibri"/>
          <w:sz w:val="22"/>
          <w:highlight w:val="yellow"/>
        </w:rPr>
        <w:t>[date]</w:t>
      </w:r>
      <w:r>
        <w:rPr>
          <w:rFonts w:ascii="Calibri" w:hAnsi="Calibri" w:eastAsia="Calibri"/>
          <w:sz w:val="22"/>
        </w:rPr>
        <w:t>.</w:t>
      </w:r>
      <w:r>
        <w:rPr>
          <w:rFonts w:ascii="Calibri" w:hAnsi="Calibri" w:eastAsia="Calibri"/>
          <w:sz w:val="22"/>
        </w:rPr>
        <w:t xml:space="preserve"> Conformément à l’article 243 bis du code général des impôts, l’assemblée prend acte que les dividendes mis en distribution au titre des trois exercices précédents ont été les suivants </w:t>
      </w:r>
      <w:r>
        <w:rPr>
          <w:rFonts w:ascii="Calibri" w:hAnsi="Calibri" w:eastAsia="Calibri"/>
          <w:sz w:val="22"/>
          <w:highlight w:val="yellow"/>
        </w:rPr>
        <w:t>[ou : qu’aucun dividende n’a été mis en distribution au titre des trois exercices précédents — supprimer alors le tableau]</w:t>
      </w:r>
      <w:r>
        <w:rPr>
          <w:rFonts w:ascii="Calibri" w:hAnsi="Calibri" w:eastAsia="Calibri"/>
          <w:sz w:val="22"/>
        </w:rPr>
        <w:t xml:space="preserve"> :</w:t>
      </w:r>
    </w:p>
    <w:tbl>
      <w:tblPr>
        <w:tblStyle w:val="TableGrid"/>
        <w:tblW w:type="auto" w:w="0"/>
        <w:jc w:val="center"/>
        <w:tblLayout w:type="fixed"/>
        <w:tblLook w:firstColumn="1" w:firstRow="1" w:lastColumn="0" w:lastRow="0" w:noHBand="0" w:noVBand="1" w:val="04A0"/>
      </w:tblPr>
      <w:tblGrid>
        <w:gridCol w:w="1814"/>
        <w:gridCol w:w="2381"/>
        <w:gridCol w:w="3005"/>
        <w:gridCol w:w="2154"/>
      </w:tblGrid>
      <w:tr>
        <w:tc>
          <w:tcPr>
            <w:tcW w:type="dxa" w:w="1814"/>
            <w:shd w:val="clear" w:color="auto" w:fill="EEF1F4"/>
          </w:tcPr>
          <w:p>
            <w:pPr>
              <w:spacing w:after="20" w:before="0"/>
            </w:pPr>
            <w:r>
              <w:rPr>
                <w:rFonts w:ascii="Calibri" w:hAnsi="Calibri" w:eastAsia="Calibri"/>
                <w:b/>
                <w:sz w:val="18"/>
              </w:rPr>
              <w:t>Exercice clos le</w:t>
            </w:r>
          </w:p>
        </w:tc>
        <w:tc>
          <w:tcPr>
            <w:tcW w:type="dxa" w:w="2381"/>
            <w:shd w:val="clear" w:color="auto" w:fill="EEF1F4"/>
          </w:tcPr>
          <w:p>
            <w:pPr>
              <w:spacing w:after="20" w:before="0"/>
            </w:pPr>
            <w:r>
              <w:rPr>
                <w:rFonts w:ascii="Calibri" w:hAnsi="Calibri" w:eastAsia="Calibri"/>
                <w:b/>
                <w:sz w:val="18"/>
              </w:rPr>
              <w:t>Dividendes mis en distribution</w:t>
            </w:r>
          </w:p>
        </w:tc>
        <w:tc>
          <w:tcPr>
            <w:tcW w:type="dxa" w:w="3005"/>
            <w:shd w:val="clear" w:color="auto" w:fill="EEF1F4"/>
          </w:tcPr>
          <w:p>
            <w:pPr>
              <w:spacing w:after="20" w:before="0"/>
            </w:pPr>
            <w:r>
              <w:rPr>
                <w:rFonts w:ascii="Calibri" w:hAnsi="Calibri" w:eastAsia="Calibri"/>
                <w:b/>
                <w:sz w:val="18"/>
              </w:rPr>
              <w:t>Revenus éligibles à l’abattement de 40 % (CGI, art. 158, 3, 2°)</w:t>
            </w:r>
          </w:p>
        </w:tc>
        <w:tc>
          <w:tcPr>
            <w:tcW w:type="dxa" w:w="2154"/>
            <w:shd w:val="clear" w:color="auto" w:fill="EEF1F4"/>
          </w:tcPr>
          <w:p>
            <w:pPr>
              <w:spacing w:after="20" w:before="0"/>
            </w:pPr>
            <w:r>
              <w:rPr>
                <w:rFonts w:ascii="Calibri" w:hAnsi="Calibri" w:eastAsia="Calibri"/>
                <w:b/>
                <w:sz w:val="18"/>
              </w:rPr>
              <w:t>Revenus non éligibles</w:t>
            </w:r>
          </w:p>
        </w:tc>
      </w:tr>
      <w:tr>
        <w:tc>
          <w:tcPr>
            <w:tcW w:type="dxa" w:w="1814"/>
          </w:tcPr>
          <w:p>
            <w:pPr>
              <w:spacing w:after="20" w:before="0"/>
            </w:pPr>
            <w:r>
              <w:rPr>
                <w:rFonts w:ascii="Calibri" w:hAnsi="Calibri" w:eastAsia="Calibri"/>
                <w:sz w:val="18"/>
                <w:highlight w:val="yellow"/>
              </w:rPr>
              <w:t>[N-1]</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r>
        <w:tc>
          <w:tcPr>
            <w:tcW w:type="dxa" w:w="1814"/>
          </w:tcPr>
          <w:p>
            <w:pPr>
              <w:spacing w:after="20" w:before="0"/>
            </w:pPr>
            <w:r>
              <w:rPr>
                <w:rFonts w:ascii="Calibri" w:hAnsi="Calibri" w:eastAsia="Calibri"/>
                <w:sz w:val="18"/>
                <w:highlight w:val="yellow"/>
              </w:rPr>
              <w:t>[N-2]</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r>
        <w:tc>
          <w:tcPr>
            <w:tcW w:type="dxa" w:w="1814"/>
          </w:tcPr>
          <w:p>
            <w:pPr>
              <w:spacing w:after="20" w:before="0"/>
            </w:pPr>
            <w:r>
              <w:rPr>
                <w:rFonts w:ascii="Calibri" w:hAnsi="Calibri" w:eastAsia="Calibri"/>
                <w:sz w:val="18"/>
                <w:highlight w:val="yellow"/>
              </w:rPr>
              <w:t>[N-3]</w:t>
            </w:r>
          </w:p>
        </w:tc>
        <w:tc>
          <w:tcPr>
            <w:tcW w:type="dxa" w:w="2381"/>
          </w:tcPr>
          <w:p>
            <w:pPr>
              <w:spacing w:after="20" w:before="0"/>
            </w:pPr>
            <w:r>
              <w:rPr>
                <w:rFonts w:ascii="Calibri" w:hAnsi="Calibri" w:eastAsia="Calibri"/>
                <w:sz w:val="18"/>
                <w:highlight w:val="yellow"/>
              </w:rPr>
              <w:t>[…] €</w:t>
            </w:r>
          </w:p>
        </w:tc>
        <w:tc>
          <w:tcPr>
            <w:tcW w:type="dxa" w:w="3005"/>
          </w:tcPr>
          <w:p>
            <w:pPr>
              <w:spacing w:after="20" w:before="0"/>
            </w:pPr>
            <w:r>
              <w:rPr>
                <w:rFonts w:ascii="Calibri" w:hAnsi="Calibri" w:eastAsia="Calibri"/>
                <w:sz w:val="18"/>
                <w:highlight w:val="yellow"/>
              </w:rPr>
              <w:t>[…] €</w:t>
            </w:r>
          </w:p>
        </w:tc>
        <w:tc>
          <w:tcPr>
            <w:tcW w:type="dxa" w:w="2154"/>
          </w:tcPr>
          <w:p>
            <w:pPr>
              <w:spacing w:after="20" w:before="0"/>
            </w:pPr>
            <w:r>
              <w:rPr>
                <w:rFonts w:ascii="Calibri" w:hAnsi="Calibri" w:eastAsia="Calibri"/>
                <w:sz w:val="18"/>
                <w:highlight w:val="yellow"/>
              </w:rPr>
              <w:t>[…] €</w:t>
            </w:r>
          </w:p>
        </w:tc>
      </w:tr>
    </w:tbl>
    <w:p>
      <w:pPr>
        <w:spacing w:after="40"/>
      </w:pPr>
    </w:p>
    <w:p>
      <w:pPr>
        <w:spacing w:after="160" w:before="0"/>
      </w:pPr>
      <w:r>
        <w:rPr>
          <w:rFonts w:ascii="Calibri" w:hAnsi="Calibri" w:eastAsia="Calibri"/>
          <w:sz w:val="19"/>
          <w:highlight w:val="yellow"/>
        </w:rPr>
        <w:t>[Si la société a plusieurs catégories de parts : un tableau par catégorie (CGI, art. 243 bis).]</w:t>
      </w:r>
    </w:p>
    <w:p>
      <w:pPr>
        <w:spacing w:after="60" w:before="0"/>
      </w:pPr>
      <w:r>
        <w:rPr>
          <w:rFonts w:ascii="Calibri" w:hAnsi="Calibri" w:eastAsia="Calibri"/>
          <w:b/>
          <w:sz w:val="22"/>
        </w:rPr>
        <w:t xml:space="preserve">Cinquième résolution </w:t>
      </w:r>
      <w:r>
        <w:rPr>
          <w:rFonts w:ascii="Calibri" w:hAnsi="Calibri" w:eastAsia="Calibri"/>
          <w:b/>
          <w:sz w:val="22"/>
          <w:highlight w:val="yellow"/>
        </w:rPr>
        <w:t>[a, b… — une résolution par convention]</w:t>
      </w:r>
      <w:r>
        <w:rPr>
          <w:rFonts w:ascii="Calibri" w:hAnsi="Calibri" w:eastAsia="Calibri"/>
          <w:b/>
          <w:sz w:val="22"/>
        </w:rPr>
        <w:t xml:space="preserve"> — Conventions réglementées</w:t>
      </w:r>
    </w:p>
    <w:p>
      <w:pPr>
        <w:spacing w:after="160" w:before="0"/>
        <w:jc w:val="both"/>
      </w:pPr>
      <w:r>
        <w:rPr>
          <w:rFonts w:ascii="Calibri" w:hAnsi="Calibri" w:eastAsia="Calibri"/>
          <w:sz w:val="22"/>
        </w:rPr>
        <w:t xml:space="preserve">L’assemblée, statuant sur le rapport présenté en application de l’article L. 223-19 du code de commerce, approuve la convention conclue avec </w:t>
      </w:r>
      <w:r>
        <w:rPr>
          <w:rFonts w:ascii="Calibri" w:hAnsi="Calibri" w:eastAsia="Calibri"/>
          <w:sz w:val="22"/>
          <w:highlight w:val="yellow"/>
        </w:rPr>
        <w:t>[Prénom NOM]</w:t>
      </w:r>
      <w:r>
        <w:rPr>
          <w:rFonts w:ascii="Calibri" w:hAnsi="Calibri" w:eastAsia="Calibri"/>
          <w:sz w:val="22"/>
        </w:rPr>
        <w:t xml:space="preserve"> ayant pour objet </w:t>
      </w:r>
      <w:r>
        <w:rPr>
          <w:rFonts w:ascii="Calibri" w:hAnsi="Calibri" w:eastAsia="Calibri"/>
          <w:sz w:val="22"/>
          <w:highlight w:val="yellow"/>
        </w:rPr>
        <w:t>[objet de la convention]</w:t>
      </w:r>
      <w:r>
        <w:rPr>
          <w:rFonts w:ascii="Calibri" w:hAnsi="Calibri" w:eastAsia="Calibri"/>
          <w:sz w:val="22"/>
        </w:rPr>
        <w:t xml:space="preserve">. </w:t>
      </w:r>
      <w:r>
        <w:rPr>
          <w:rFonts w:ascii="Calibri" w:hAnsi="Calibri" w:eastAsia="Calibri"/>
          <w:sz w:val="22"/>
          <w:highlight w:val="yellow"/>
        </w:rPr>
        <w:t>[Le gérant ou l’associé intéressé ne prend pas part au vote ; ses … parts ne sont prises en compte ni pour le quorum ni pour la majorité.]</w:t>
      </w:r>
      <w:r>
        <w:rPr>
          <w:rFonts w:ascii="Calibri" w:hAnsi="Calibri" w:eastAsia="Calibri"/>
          <w:sz w:val="22"/>
        </w:rPr>
        <w:t xml:space="preserve"> </w:t>
      </w:r>
      <w:r>
        <w:rPr>
          <w:rFonts w:ascii="Calibri" w:hAnsi="Calibri" w:eastAsia="Calibri"/>
          <w:sz w:val="22"/>
          <w:highlight w:val="yellow"/>
        </w:rPr>
        <w:t>[Ou, en l’absence de convention : l’assemblée prend acte qu’aucune convention visée à l’article L. 223-19 du code de commerce n’a été conclue ou poursuivie au cours de l’exercice.]</w:t>
      </w:r>
    </w:p>
    <w:p>
      <w:pPr>
        <w:spacing w:after="60" w:before="0"/>
      </w:pPr>
      <w:r>
        <w:rPr>
          <w:rFonts w:ascii="Calibri" w:hAnsi="Calibri" w:eastAsia="Calibri"/>
          <w:b/>
          <w:sz w:val="22"/>
          <w:highlight w:val="yellow"/>
        </w:rPr>
        <w:t>[Sixième résolution — autre point de l’ordre du jour]</w:t>
      </w:r>
    </w:p>
    <w:p>
      <w:pPr>
        <w:spacing w:after="160" w:before="0"/>
        <w:jc w:val="both"/>
      </w:pPr>
      <w:r>
        <w:rPr>
          <w:rFonts w:ascii="Calibri" w:hAnsi="Calibri" w:eastAsia="Calibri"/>
          <w:sz w:val="22"/>
          <w:highlight w:val="yellow"/>
        </w:rPr>
        <w:t>[Texte de la résolution.]</w:t>
      </w:r>
    </w:p>
    <w:p>
      <w:pPr>
        <w:spacing w:after="60" w:before="0"/>
      </w:pPr>
      <w:r>
        <w:rPr>
          <w:rFonts w:ascii="Calibri" w:hAnsi="Calibri" w:eastAsia="Calibri"/>
          <w:b/>
          <w:sz w:val="22"/>
        </w:rPr>
        <w:t>Septième résolution — Pouvoirs</w:t>
      </w:r>
    </w:p>
    <w:p>
      <w:pPr>
        <w:spacing w:after="160" w:before="0"/>
        <w:jc w:val="both"/>
      </w:pPr>
      <w:r>
        <w:rPr>
          <w:rFonts w:ascii="Calibri" w:hAnsi="Calibri" w:eastAsia="Calibri"/>
          <w:sz w:val="22"/>
        </w:rPr>
        <w:t>L’assemblée confère tous pouvoirs au porteur d’un original, d’une copie ou d’un extrait du procès-verbal de la présente assemblée pour accomplir les formalités de dépôt et de publicité.</w:t>
      </w:r>
    </w:p>
    <w:p>
      <w:r>
        <w:br w:type="page"/>
      </w:r>
    </w:p>
    <w:p>
      <w:pPr>
        <w:spacing w:after="40" w:before="0"/>
        <w:jc w:val="center"/>
      </w:pPr>
      <w:r>
        <w:rPr>
          <w:rFonts w:ascii="Calibri" w:hAnsi="Calibri" w:eastAsia="Calibri"/>
          <w:b/>
          <w:sz w:val="24"/>
        </w:rPr>
        <w:t>ANNEXE 2 — FORMULAIRE DE VOTE PAR CORRESPONDANCE</w:t>
      </w:r>
    </w:p>
    <w:p>
      <w:pPr>
        <w:spacing w:after="40" w:before="0"/>
        <w:jc w:val="center"/>
      </w:pPr>
      <w:r>
        <w:rPr>
          <w:rFonts w:ascii="Calibri" w:hAnsi="Calibri" w:eastAsia="Calibri"/>
          <w:sz w:val="19"/>
          <w:highlight w:val="yellow"/>
        </w:rPr>
        <w:t>[À n’utiliser que si les statuts admettent le vote par correspondance — sinon, supprimer cette annexe]</w:t>
      </w:r>
    </w:p>
    <w:p>
      <w:pPr>
        <w:spacing w:after="200" w:before="0"/>
        <w:jc w:val="center"/>
      </w:pPr>
      <w:r>
        <w:rPr>
          <w:rFonts w:ascii="Calibri" w:hAnsi="Calibri" w:eastAsia="Calibri"/>
          <w:sz w:val="22"/>
        </w:rPr>
        <w:t xml:space="preserve">Société </w:t>
      </w:r>
      <w:r>
        <w:rPr>
          <w:rFonts w:ascii="Calibri" w:hAnsi="Calibri" w:eastAsia="Calibri"/>
          <w:sz w:val="22"/>
          <w:highlight w:val="yellow"/>
        </w:rPr>
        <w:t>[dénomination]</w:t>
      </w:r>
      <w:r>
        <w:rPr>
          <w:rFonts w:ascii="Calibri" w:hAnsi="Calibri" w:eastAsia="Calibri"/>
          <w:sz w:val="22"/>
        </w:rPr>
        <w:t xml:space="preserve"> — Assemblée générale ordinaire annuelle du </w:t>
      </w:r>
      <w:r>
        <w:rPr>
          <w:rFonts w:ascii="Calibri" w:hAnsi="Calibri" w:eastAsia="Calibri"/>
          <w:sz w:val="22"/>
          <w:highlight w:val="yellow"/>
        </w:rPr>
        <w:t>[date]</w:t>
      </w:r>
    </w:p>
    <w:p>
      <w:pPr>
        <w:spacing w:after="160" w:before="0"/>
        <w:jc w:val="both"/>
      </w:pPr>
      <w:r>
        <w:rPr>
          <w:rFonts w:ascii="Calibri" w:hAnsi="Calibri" w:eastAsia="Calibri"/>
          <w:b/>
          <w:sz w:val="22"/>
        </w:rPr>
        <w:t xml:space="preserve">Date limite : </w:t>
      </w:r>
      <w:r>
        <w:rPr>
          <w:rFonts w:ascii="Calibri" w:hAnsi="Calibri" w:eastAsia="Calibri"/>
          <w:sz w:val="22"/>
        </w:rPr>
        <w:t xml:space="preserve">pour être pris en compte, le présent formulaire doit être reçu par la société au plus tard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[au siège social / par voie électronique à l’adresse …]</w:t>
      </w:r>
      <w:r>
        <w:rPr>
          <w:rFonts w:ascii="Calibri" w:hAnsi="Calibri" w:eastAsia="Calibri"/>
          <w:sz w:val="22"/>
        </w:rPr>
        <w:t>.</w:t>
      </w:r>
    </w:p>
    <w:tbl>
      <w:tblPr>
        <w:tblStyle w:val="TableGrid"/>
        <w:tblW w:type="auto" w:w="0"/>
        <w:jc w:val="center"/>
        <w:tblLayout w:type="fixed"/>
        <w:tblLook w:firstColumn="1" w:firstRow="1" w:lastColumn="0" w:lastRow="0" w:noHBand="0" w:noVBand="1" w:val="04A0"/>
      </w:tblPr>
      <w:tblGrid>
        <w:gridCol w:w="2948"/>
        <w:gridCol w:w="6406"/>
      </w:tblGrid>
      <w:tr>
        <w:tc>
          <w:tcPr>
            <w:tcW w:type="dxa" w:w="2948"/>
            <w:shd w:val="clear" w:color="auto" w:fill="F5F6F8"/>
          </w:tcPr>
          <w:p>
            <w:pPr>
              <w:spacing w:after="20" w:before="0"/>
            </w:pPr>
            <w:r>
              <w:rPr>
                <w:rFonts w:ascii="Calibri" w:hAnsi="Calibri" w:eastAsia="Calibri"/>
                <w:b/>
                <w:sz w:val="19"/>
              </w:rPr>
              <w:t>Nom</w:t>
            </w:r>
          </w:p>
        </w:tc>
        <w:tc>
          <w:tcPr>
            <w:tcW w:type="dxa" w:w="6406"/>
          </w:tcPr>
          <w:p>
            <w:pPr>
              <w:spacing w:after="20" w:before="0"/>
            </w:pPr>
            <w:r>
              <w:rPr>
                <w:rFonts w:ascii="Calibri" w:hAnsi="Calibri" w:eastAsia="Calibri"/>
                <w:sz w:val="19"/>
                <w:highlight w:val="yellow"/>
              </w:rPr>
              <w:t>[…]</w:t>
            </w:r>
          </w:p>
        </w:tc>
      </w:tr>
      <w:tr>
        <w:tc>
          <w:tcPr>
            <w:tcW w:type="dxa" w:w="2948"/>
            <w:shd w:val="clear" w:color="auto" w:fill="F5F6F8"/>
          </w:tcPr>
          <w:p>
            <w:pPr>
              <w:spacing w:after="20" w:before="0"/>
            </w:pPr>
            <w:r>
              <w:rPr>
                <w:rFonts w:ascii="Calibri" w:hAnsi="Calibri" w:eastAsia="Calibri"/>
                <w:b/>
                <w:sz w:val="19"/>
              </w:rPr>
              <w:t>Prénom usuel</w:t>
            </w:r>
          </w:p>
        </w:tc>
        <w:tc>
          <w:tcPr>
            <w:tcW w:type="dxa" w:w="6406"/>
          </w:tcPr>
          <w:p>
            <w:pPr>
              <w:spacing w:after="20" w:before="0"/>
            </w:pPr>
            <w:r>
              <w:rPr>
                <w:rFonts w:ascii="Calibri" w:hAnsi="Calibri" w:eastAsia="Calibri"/>
                <w:sz w:val="19"/>
                <w:highlight w:val="yellow"/>
              </w:rPr>
              <w:t>[…]</w:t>
            </w:r>
          </w:p>
        </w:tc>
      </w:tr>
      <w:tr>
        <w:tc>
          <w:tcPr>
            <w:tcW w:type="dxa" w:w="2948"/>
            <w:shd w:val="clear" w:color="auto" w:fill="F5F6F8"/>
          </w:tcPr>
          <w:p>
            <w:pPr>
              <w:spacing w:after="20" w:before="0"/>
            </w:pPr>
            <w:r>
              <w:rPr>
                <w:rFonts w:ascii="Calibri" w:hAnsi="Calibri" w:eastAsia="Calibri"/>
                <w:b/>
                <w:sz w:val="19"/>
              </w:rPr>
              <w:t>Adresse du domicile</w:t>
            </w:r>
          </w:p>
        </w:tc>
        <w:tc>
          <w:tcPr>
            <w:tcW w:type="dxa" w:w="6406"/>
          </w:tcPr>
          <w:p>
            <w:pPr>
              <w:spacing w:after="20" w:before="0"/>
            </w:pPr>
            <w:r>
              <w:rPr>
                <w:rFonts w:ascii="Calibri" w:hAnsi="Calibri" w:eastAsia="Calibri"/>
                <w:sz w:val="19"/>
                <w:highlight w:val="yellow"/>
              </w:rPr>
              <w:t>[…]</w:t>
            </w:r>
          </w:p>
        </w:tc>
      </w:tr>
      <w:tr>
        <w:tc>
          <w:tcPr>
            <w:tcW w:type="dxa" w:w="2948"/>
            <w:shd w:val="clear" w:color="auto" w:fill="F5F6F8"/>
          </w:tcPr>
          <w:p>
            <w:pPr>
              <w:spacing w:after="20" w:before="0"/>
            </w:pPr>
            <w:r>
              <w:rPr>
                <w:rFonts w:ascii="Calibri" w:hAnsi="Calibri" w:eastAsia="Calibri"/>
                <w:b/>
                <w:sz w:val="19"/>
              </w:rPr>
              <w:t>Nombre de parts sociales détenues</w:t>
            </w:r>
          </w:p>
        </w:tc>
        <w:tc>
          <w:tcPr>
            <w:tcW w:type="dxa" w:w="6406"/>
          </w:tcPr>
          <w:p>
            <w:pPr>
              <w:spacing w:after="20" w:before="0"/>
            </w:pPr>
            <w:r>
              <w:rPr>
                <w:rFonts w:ascii="Calibri" w:hAnsi="Calibri" w:eastAsia="Calibri"/>
                <w:sz w:val="19"/>
                <w:highlight w:val="yellow"/>
              </w:rPr>
              <w:t>[…]</w:t>
            </w:r>
            <w:r>
              <w:rPr>
                <w:rFonts w:ascii="Calibri" w:hAnsi="Calibri" w:eastAsia="Calibri"/>
                <w:sz w:val="19"/>
              </w:rPr>
              <w:t xml:space="preserve"> </w:t>
            </w:r>
            <w:r>
              <w:rPr>
                <w:rFonts w:ascii="Calibri" w:hAnsi="Calibri" w:eastAsia="Calibri"/>
                <w:sz w:val="19"/>
                <w:highlight w:val="yellow"/>
              </w:rPr>
              <w:t>[en pleine propriété / en usufruit / en nue-propriété / comme mandataire de l’indivision]</w:t>
            </w:r>
          </w:p>
        </w:tc>
      </w:tr>
    </w:tbl>
    <w:p>
      <w:pPr>
        <w:spacing w:after="120"/>
      </w:pPr>
    </w:p>
    <w:p>
      <w:pPr>
        <w:spacing w:after="80" w:before="0"/>
        <w:jc w:val="both"/>
      </w:pPr>
      <w:r>
        <w:rPr>
          <w:rFonts w:ascii="Calibri" w:hAnsi="Calibri" w:eastAsia="Calibri"/>
          <w:sz w:val="22"/>
        </w:rPr>
        <w:t>Pour chaque résolution, cochez une seule case : vote favorable, vote défavorable ou abstention.</w:t>
      </w:r>
    </w:p>
    <w:tbl>
      <w:tblPr>
        <w:tblStyle w:val="TableGrid"/>
        <w:tblW w:type="auto" w:w="0"/>
        <w:jc w:val="center"/>
        <w:tblLayout w:type="fixed"/>
        <w:tblLook w:firstColumn="1" w:firstRow="1" w:lastColumn="0" w:lastRow="0" w:noHBand="0" w:noVBand="1" w:val="04A0"/>
      </w:tblPr>
      <w:tblGrid>
        <w:gridCol w:w="567"/>
        <w:gridCol w:w="5386"/>
        <w:gridCol w:w="1134"/>
        <w:gridCol w:w="1134"/>
        <w:gridCol w:w="1134"/>
      </w:tblGrid>
      <w:tr>
        <w:tc>
          <w:tcPr>
            <w:tcW w:type="dxa" w:w="567"/>
            <w:shd w:val="clear" w:color="auto" w:fill="EEF1F4"/>
          </w:tcPr>
          <w:p>
            <w:pPr>
              <w:spacing w:after="20" w:before="0"/>
            </w:pPr>
            <w:r>
              <w:rPr>
                <w:rFonts w:ascii="Calibri" w:hAnsi="Calibri" w:eastAsia="Calibri"/>
                <w:b/>
                <w:sz w:val="19"/>
              </w:rPr>
              <w:t>N°</w:t>
            </w:r>
          </w:p>
        </w:tc>
        <w:tc>
          <w:tcPr>
            <w:tcW w:type="dxa" w:w="5386"/>
            <w:shd w:val="clear" w:color="auto" w:fill="EEF1F4"/>
          </w:tcPr>
          <w:p>
            <w:pPr>
              <w:spacing w:after="20" w:before="0"/>
            </w:pPr>
            <w:r>
              <w:rPr>
                <w:rFonts w:ascii="Calibri" w:hAnsi="Calibri" w:eastAsia="Calibri"/>
                <w:b/>
                <w:sz w:val="19"/>
              </w:rPr>
              <w:t>Résolution</w:t>
            </w:r>
          </w:p>
        </w:tc>
        <w:tc>
          <w:tcPr>
            <w:tcW w:type="dxa" w:w="1134"/>
            <w:shd w:val="clear" w:color="auto" w:fill="EEF1F4"/>
          </w:tcPr>
          <w:p>
            <w:pPr>
              <w:spacing w:after="20" w:before="0"/>
            </w:pPr>
            <w:r>
              <w:rPr>
                <w:rFonts w:ascii="Calibri" w:hAnsi="Calibri" w:eastAsia="Calibri"/>
                <w:b/>
                <w:sz w:val="19"/>
              </w:rPr>
              <w:t>Pour</w:t>
            </w:r>
          </w:p>
        </w:tc>
        <w:tc>
          <w:tcPr>
            <w:tcW w:type="dxa" w:w="1134"/>
            <w:shd w:val="clear" w:color="auto" w:fill="EEF1F4"/>
          </w:tcPr>
          <w:p>
            <w:pPr>
              <w:spacing w:after="20" w:before="0"/>
            </w:pPr>
            <w:r>
              <w:rPr>
                <w:rFonts w:ascii="Calibri" w:hAnsi="Calibri" w:eastAsia="Calibri"/>
                <w:b/>
                <w:sz w:val="19"/>
              </w:rPr>
              <w:t>Contre</w:t>
            </w:r>
          </w:p>
        </w:tc>
        <w:tc>
          <w:tcPr>
            <w:tcW w:type="dxa" w:w="1134"/>
            <w:shd w:val="clear" w:color="auto" w:fill="EEF1F4"/>
          </w:tcPr>
          <w:p>
            <w:pPr>
              <w:spacing w:after="20" w:before="0"/>
            </w:pPr>
            <w:r>
              <w:rPr>
                <w:rFonts w:ascii="Calibri" w:hAnsi="Calibri" w:eastAsia="Calibri"/>
                <w:b/>
                <w:sz w:val="19"/>
              </w:rPr>
              <w:t>Abstention</w:t>
            </w:r>
          </w:p>
        </w:tc>
      </w:tr>
      <w:tr>
        <w:tc>
          <w:tcPr>
            <w:tcW w:type="dxa" w:w="567"/>
          </w:tcPr>
          <w:p>
            <w:pPr>
              <w:spacing w:after="20" w:before="0"/>
            </w:pPr>
            <w:r>
              <w:rPr>
                <w:rFonts w:ascii="Calibri" w:hAnsi="Calibri" w:eastAsia="Calibri"/>
                <w:sz w:val="19"/>
              </w:rPr>
              <w:t>1</w:t>
            </w:r>
          </w:p>
        </w:tc>
        <w:tc>
          <w:tcPr>
            <w:tcW w:type="dxa" w:w="5386"/>
          </w:tcPr>
          <w:p>
            <w:pPr>
              <w:spacing w:after="20" w:before="0"/>
            </w:pPr>
            <w:r>
              <w:rPr>
                <w:rFonts w:ascii="Calibri" w:hAnsi="Calibri" w:eastAsia="Calibri"/>
                <w:sz w:val="19"/>
              </w:rPr>
              <w:t>Approbation des comptes</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rPr>
              <w:t>2</w:t>
            </w:r>
          </w:p>
        </w:tc>
        <w:tc>
          <w:tcPr>
            <w:tcW w:type="dxa" w:w="5386"/>
          </w:tcPr>
          <w:p>
            <w:pPr>
              <w:spacing w:after="20" w:before="0"/>
            </w:pPr>
            <w:r>
              <w:rPr>
                <w:rFonts w:ascii="Calibri" w:hAnsi="Calibri" w:eastAsia="Calibri"/>
                <w:sz w:val="19"/>
                <w:highlight w:val="yellow"/>
              </w:rPr>
              <w:t>[Dépenses non déductibles]</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rPr>
              <w:t>3</w:t>
            </w:r>
          </w:p>
        </w:tc>
        <w:tc>
          <w:tcPr>
            <w:tcW w:type="dxa" w:w="5386"/>
          </w:tcPr>
          <w:p>
            <w:pPr>
              <w:spacing w:after="20" w:before="0"/>
            </w:pPr>
            <w:r>
              <w:rPr>
                <w:rFonts w:ascii="Calibri" w:hAnsi="Calibri" w:eastAsia="Calibri"/>
                <w:sz w:val="19"/>
              </w:rPr>
              <w:t>Quitus</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rPr>
              <w:t>4</w:t>
            </w:r>
          </w:p>
        </w:tc>
        <w:tc>
          <w:tcPr>
            <w:tcW w:type="dxa" w:w="5386"/>
          </w:tcPr>
          <w:p>
            <w:pPr>
              <w:spacing w:after="20" w:before="0"/>
            </w:pPr>
            <w:r>
              <w:rPr>
                <w:rFonts w:ascii="Calibri" w:hAnsi="Calibri" w:eastAsia="Calibri"/>
                <w:sz w:val="19"/>
              </w:rPr>
              <w:t>Affectation du résultat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highlight w:val="yellow"/>
              </w:rPr>
              <w:t>[5 a]</w:t>
            </w:r>
          </w:p>
        </w:tc>
        <w:tc>
          <w:tcPr>
            <w:tcW w:type="dxa" w:w="5386"/>
          </w:tcPr>
          <w:p>
            <w:pPr>
              <w:spacing w:after="20" w:before="0"/>
            </w:pPr>
            <w:r>
              <w:rPr>
                <w:rFonts w:ascii="Calibri" w:hAnsi="Calibri" w:eastAsia="Calibri"/>
                <w:sz w:val="19"/>
              </w:rPr>
              <w:t xml:space="preserve">Convention réglementée conclue avec </w:t>
            </w:r>
            <w:r>
              <w:rPr>
                <w:rFonts w:ascii="Calibri" w:hAnsi="Calibri" w:eastAsia="Calibri"/>
                <w:sz w:val="19"/>
                <w:highlight w:val="yellow"/>
              </w:rPr>
              <w:t>[Prénom NOM — objet]</w:t>
            </w:r>
            <w:r>
              <w:rPr>
                <w:rFonts w:ascii="Calibri" w:hAnsi="Calibri" w:eastAsia="Calibri"/>
                <w:sz w:val="19"/>
              </w:rPr>
              <w:t xml:space="preserve"> </w:t>
            </w:r>
            <w:r>
              <w:rPr>
                <w:rFonts w:ascii="Calibri" w:hAnsi="Calibri" w:eastAsia="Calibri"/>
                <w:sz w:val="19"/>
                <w:highlight w:val="yellow"/>
              </w:rPr>
              <w:t>[une ligne par convention, comme dans l’annexe 1]</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rPr>
              <w:t>6</w:t>
            </w:r>
          </w:p>
        </w:tc>
        <w:tc>
          <w:tcPr>
            <w:tcW w:type="dxa" w:w="5386"/>
          </w:tcPr>
          <w:p>
            <w:pPr>
              <w:spacing w:after="20" w:before="0"/>
            </w:pPr>
            <w:r>
              <w:rPr>
                <w:rFonts w:ascii="Calibri" w:hAnsi="Calibri" w:eastAsia="Calibri"/>
                <w:sz w:val="19"/>
                <w:highlight w:val="yellow"/>
              </w:rPr>
              <w:t>[Autre point]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r>
        <w:tc>
          <w:tcPr>
            <w:tcW w:type="dxa" w:w="567"/>
          </w:tcPr>
          <w:p>
            <w:pPr>
              <w:spacing w:after="20" w:before="0"/>
            </w:pPr>
            <w:r>
              <w:rPr>
                <w:rFonts w:ascii="Calibri" w:hAnsi="Calibri" w:eastAsia="Calibri"/>
                <w:sz w:val="19"/>
              </w:rPr>
              <w:t>7</w:t>
            </w:r>
          </w:p>
        </w:tc>
        <w:tc>
          <w:tcPr>
            <w:tcW w:type="dxa" w:w="5386"/>
          </w:tcPr>
          <w:p>
            <w:pPr>
              <w:spacing w:after="20" w:before="0"/>
            </w:pPr>
            <w:r>
              <w:rPr>
                <w:rFonts w:ascii="Calibri" w:hAnsi="Calibri" w:eastAsia="Calibri"/>
                <w:sz w:val="19"/>
              </w:rPr>
              <w:t>Pouvoirs pour les formalités</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c>
          <w:tcPr>
            <w:tcW w:type="dxa" w:w="1134"/>
          </w:tcPr>
          <w:p>
            <w:pPr>
              <w:spacing w:after="20" w:before="0"/>
            </w:pPr>
            <w:r>
              <w:rPr>
                <w:rFonts w:ascii="Calibri" w:hAnsi="Calibri" w:eastAsia="Calibri"/>
                <w:sz w:val="19"/>
              </w:rPr>
              <w:t>☐</w:t>
            </w:r>
          </w:p>
        </w:tc>
      </w:tr>
    </w:tbl>
    <w:p>
      <w:pPr>
        <w:spacing w:after="120"/>
      </w:pPr>
    </w:p>
    <w:p>
      <w:pPr>
        <w:spacing w:after="120" w:before="0"/>
        <w:jc w:val="both"/>
      </w:pPr>
      <w:r>
        <w:rPr>
          <w:rFonts w:ascii="Calibri" w:hAnsi="Calibri" w:eastAsia="Calibri"/>
          <w:sz w:val="22"/>
        </w:rPr>
        <w:t xml:space="preserve">Fait à </w:t>
      </w:r>
      <w:r>
        <w:rPr>
          <w:rFonts w:ascii="Calibri" w:hAnsi="Calibri" w:eastAsia="Calibri"/>
          <w:sz w:val="22"/>
          <w:highlight w:val="yellow"/>
        </w:rPr>
        <w:t>[lieu]</w:t>
      </w:r>
      <w:r>
        <w:rPr>
          <w:rFonts w:ascii="Calibri" w:hAnsi="Calibri" w:eastAsia="Calibri"/>
          <w:sz w:val="22"/>
        </w:rPr>
        <w:t xml:space="preserve">, le </w:t>
      </w:r>
      <w:r>
        <w:rPr>
          <w:rFonts w:ascii="Calibri" w:hAnsi="Calibri" w:eastAsia="Calibri"/>
          <w:sz w:val="22"/>
          <w:highlight w:val="yellow"/>
        </w:rPr>
        <w:t>[date]</w:t>
      </w:r>
    </w:p>
    <w:p>
      <w:pPr>
        <w:spacing w:after="80" w:before="0"/>
        <w:jc w:val="both"/>
      </w:pPr>
      <w:r>
        <w:rPr>
          <w:rFonts w:ascii="Calibri" w:hAnsi="Calibri" w:eastAsia="Calibri"/>
          <w:sz w:val="22"/>
        </w:rPr>
        <w:t xml:space="preserve">Signature de l’associé </w:t>
      </w:r>
      <w:r>
        <w:rPr>
          <w:rFonts w:ascii="Calibri" w:hAnsi="Calibri" w:eastAsia="Calibri"/>
          <w:sz w:val="22"/>
          <w:highlight w:val="yellow"/>
        </w:rPr>
        <w:t>[ou de son représentant légal ou judiciaire]</w:t>
      </w:r>
      <w:r>
        <w:rPr>
          <w:rFonts w:ascii="Calibri" w:hAnsi="Calibri" w:eastAsia="Calibri"/>
          <w:sz w:val="22"/>
        </w:rPr>
        <w:t xml:space="preserve"> (une signature électronique est possible) :</w:t>
      </w:r>
    </w:p>
    <w:p>
      <w:pPr>
        <w:spacing w:after="200" w:before="0"/>
      </w:pPr>
      <w:r>
        <w:rPr>
          <w:rFonts w:ascii="Calibri" w:hAnsi="Calibri" w:eastAsia="Calibri"/>
          <w:sz w:val="22"/>
          <w:highlight w:val="yellow"/>
        </w:rPr>
        <w:t>[Signature]</w:t>
      </w:r>
    </w:p>
    <w:p>
      <w:r>
        <w:br w:type="page"/>
      </w:r>
    </w:p>
    <w:p>
      <w:pPr>
        <w:spacing w:after="40" w:before="0"/>
        <w:jc w:val="center"/>
      </w:pPr>
      <w:r>
        <w:rPr>
          <w:rFonts w:ascii="Calibri" w:hAnsi="Calibri" w:eastAsia="Calibri"/>
          <w:b/>
          <w:sz w:val="24"/>
        </w:rPr>
        <w:t>ANNEXE 3 — ACCORD POUR LA COMMUNICATION ÉLECTRONIQUE</w:t>
      </w:r>
    </w:p>
    <w:p>
      <w:pPr>
        <w:spacing w:after="240" w:before="0"/>
        <w:jc w:val="center"/>
      </w:pPr>
      <w:r>
        <w:rPr>
          <w:rFonts w:ascii="Calibri" w:hAnsi="Calibri" w:eastAsia="Calibri"/>
          <w:sz w:val="22"/>
        </w:rPr>
        <w:t>(valable pour les prochaines assemblées)</w:t>
      </w:r>
    </w:p>
    <w:p>
      <w:pPr>
        <w:spacing w:after="160" w:before="0"/>
        <w:jc w:val="both"/>
      </w:pPr>
      <w:r>
        <w:rPr>
          <w:rFonts w:ascii="Calibri" w:hAnsi="Calibri" w:eastAsia="Calibri"/>
          <w:sz w:val="22"/>
        </w:rPr>
        <w:t xml:space="preserve">Je soussigné(e) </w:t>
      </w:r>
      <w:r>
        <w:rPr>
          <w:rFonts w:ascii="Calibri" w:hAnsi="Calibri" w:eastAsia="Calibri"/>
          <w:sz w:val="22"/>
          <w:highlight w:val="yellow"/>
        </w:rPr>
        <w:t>[Prénom NOM]</w:t>
      </w:r>
      <w:r>
        <w:rPr>
          <w:rFonts w:ascii="Calibri" w:hAnsi="Calibri" w:eastAsia="Calibri"/>
          <w:sz w:val="22"/>
        </w:rPr>
        <w:t xml:space="preserve">, associé(e) de la société </w:t>
      </w:r>
      <w:r>
        <w:rPr>
          <w:rFonts w:ascii="Calibri" w:hAnsi="Calibri" w:eastAsia="Calibri"/>
          <w:sz w:val="22"/>
          <w:highlight w:val="yellow"/>
        </w:rPr>
        <w:t>[dénomination]</w:t>
      </w:r>
      <w:r>
        <w:rPr>
          <w:rFonts w:ascii="Calibri" w:hAnsi="Calibri" w:eastAsia="Calibri"/>
          <w:sz w:val="22"/>
        </w:rPr>
        <w:t xml:space="preserve">, accepte que la société recoure à la communication électronique, en lieu et place d’un envoi postal, pour m’adresser les convocations, documents et renseignements prévus aux articles R. 223-18 à R. 223-20, R. 223-20-2 et R. 223-20-3 du code de commerce, à l’adresse électronique suivante : </w:t>
      </w:r>
      <w:r>
        <w:rPr>
          <w:rFonts w:ascii="Calibri" w:hAnsi="Calibri" w:eastAsia="Calibri"/>
          <w:sz w:val="22"/>
          <w:highlight w:val="yellow"/>
        </w:rPr>
        <w:t>[adresse électronique]</w:t>
      </w:r>
      <w:r>
        <w:rPr>
          <w:rFonts w:ascii="Calibri" w:hAnsi="Calibri" w:eastAsia="Calibri"/>
          <w:sz w:val="22"/>
        </w:rPr>
        <w:t>.</w:t>
      </w:r>
    </w:p>
    <w:p>
      <w:pPr>
        <w:spacing w:after="160" w:before="0"/>
        <w:jc w:val="both"/>
      </w:pPr>
      <w:r>
        <w:rPr>
          <w:rFonts w:ascii="Calibri" w:hAnsi="Calibri" w:eastAsia="Calibri"/>
          <w:sz w:val="22"/>
        </w:rPr>
        <w:t>J’ai noté que je peux demander, par voie électronique ou par lettre recommandée, le retour à un envoi postal, vingt jours au moins avant la date de l’assemblée suivante.</w:t>
      </w:r>
    </w:p>
    <w:p>
      <w:pPr>
        <w:spacing w:after="200" w:before="0"/>
        <w:jc w:val="both"/>
      </w:pPr>
      <w:r>
        <w:rPr>
          <w:rFonts w:ascii="Calibri" w:hAnsi="Calibri" w:eastAsia="Calibri"/>
          <w:sz w:val="22"/>
        </w:rPr>
        <w:t>Le présent accord doit parvenir à la société, par lettre recommandée ou par voie électronique, au plus tard vingt jours avant la date de la prochaine assemblée des associés.</w:t>
      </w:r>
    </w:p>
    <w:p>
      <w:pPr>
        <w:spacing w:after="120" w:before="0"/>
        <w:jc w:val="both"/>
      </w:pPr>
      <w:r>
        <w:rPr>
          <w:rFonts w:ascii="Calibri" w:hAnsi="Calibri" w:eastAsia="Calibri"/>
          <w:sz w:val="22"/>
        </w:rPr>
        <w:t xml:space="preserve">Fait à </w:t>
      </w:r>
      <w:r>
        <w:rPr>
          <w:rFonts w:ascii="Calibri" w:hAnsi="Calibri" w:eastAsia="Calibri"/>
          <w:sz w:val="22"/>
          <w:highlight w:val="yellow"/>
        </w:rPr>
        <w:t>[lieu]</w:t>
      </w:r>
      <w:r>
        <w:rPr>
          <w:rFonts w:ascii="Calibri" w:hAnsi="Calibri" w:eastAsia="Calibri"/>
          <w:sz w:val="22"/>
        </w:rPr>
        <w:t xml:space="preserve">, le </w:t>
      </w:r>
      <w:r>
        <w:rPr>
          <w:rFonts w:ascii="Calibri" w:hAnsi="Calibri" w:eastAsia="Calibri"/>
          <w:sz w:val="22"/>
          <w:highlight w:val="yellow"/>
        </w:rPr>
        <w:t>[date]</w:t>
      </w:r>
    </w:p>
    <w:p>
      <w:pPr>
        <w:spacing w:after="200" w:before="0"/>
      </w:pPr>
      <w:r>
        <w:rPr>
          <w:rFonts w:ascii="Calibri" w:hAnsi="Calibri" w:eastAsia="Calibri"/>
          <w:sz w:val="22"/>
          <w:highlight w:val="yellow"/>
        </w:rPr>
        <w:t>[Signature de l’associé]</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Délais : la convocation est adressée par lettre recommandée quinze jours au moins avant l’assemblée et indique l’ordre du jour (C. com., art. R. 223-20). Les comptes annuels, le rapport de gestion, le texte des résolutions et, le cas échéant, les comptes consolidés, le rapport sur la gestion du groupe, les rapports du commissaire aux comptes sur les comptes annuels et sur les comptes consolidés et le rapport de certification des informations en matière de durabilité sont adressés quinze jours au moins avant l’assemblée (art. R. 223-18), et l’assemblée ne peut se tenir avant l’expiration de ce délai de communication (art. L. 223-27). Prévoyez une marge pour l’acheminement du courrier.</w:t>
      </w:r>
    </w:p>
    <w:p>
      <w:pPr>
        <w:spacing w:after="100" w:before="0"/>
        <w:jc w:val="both"/>
      </w:pPr>
      <w:r>
        <w:rPr>
          <w:rFonts w:ascii="Calibri" w:hAnsi="Calibri" w:eastAsia="Calibri"/>
          <w:color w:val="374151"/>
          <w:sz w:val="20"/>
        </w:rPr>
        <w:t>• Calendrier : les comptes doivent être soumis aux associés réunis en assemblée dans les six mois de la clôture de l’exercice, sauf prolongation par décision de justice (art. L. 223-26), demandée par le gérant par requête au président du tribunal de commerce (art. R. 223-18-1). Dans le Bas-Rhin, le Haut-Rhin et la Moselle, la compétence des tribunaux de commerce est exercée par la chambre commerciale du tribunal judiciaire (art. L. 731-1 et L. 731-2) : renseignez-vous auprès du greffe sur la formation à saisir.</w:t>
      </w:r>
    </w:p>
    <w:p>
      <w:pPr>
        <w:spacing w:after="100" w:before="0"/>
        <w:jc w:val="both"/>
      </w:pPr>
      <w:r>
        <w:rPr>
          <w:rFonts w:ascii="Calibri" w:hAnsi="Calibri" w:eastAsia="Calibri"/>
          <w:color w:val="374151"/>
          <w:sz w:val="20"/>
        </w:rPr>
        <w:t>• Assemblée ou consultation écrite : depuis le 14 septembre 2024, les statuts peuvent prévoir la consultation écrite ou l’acte unanime pour toutes les décisions ou certaines d’entre elles, y compris l’approbation des comptes, qui en était jusque-là exclue (art. L. 223-27) ; l’article L. 223-26 vise toutefois toujours l’approbation des comptes par les associés « réunis en assemblée ». Par prudence, réunissez une assemblée pour l’approbation annuelle des comptes d’une SARL à plusieurs associés.</w:t>
      </w:r>
    </w:p>
    <w:p>
      <w:pPr>
        <w:spacing w:after="100" w:before="0"/>
        <w:jc w:val="both"/>
      </w:pPr>
      <w:r>
        <w:rPr>
          <w:rFonts w:ascii="Calibri" w:hAnsi="Calibri" w:eastAsia="Calibri"/>
          <w:color w:val="374151"/>
          <w:sz w:val="20"/>
        </w:rPr>
        <w:t>• Ordre du jour : chaque question doit être libellée de façon que son contenu et sa portée apparaissent clairement, sans renvoi à d’autres documents ; seules les questions diverses de minime importance échappent à cette règle (art. R. 223-20). Les associés détenant au moins le vingtième des parts peuvent faire inscrire des points ou des projets de résolution, par lettre recommandée avec demande d’avis de réception ou par courrier électronique avec accusé de réception, vingt-cinq jours au moins avant l’assemblée (art. L. 223-27 et R. 223-20-3) ; un associé peut demander à être avisé de la date de l’assemblée (art. R. 223-20-2).</w:t>
      </w:r>
    </w:p>
    <w:p>
      <w:pPr>
        <w:spacing w:after="100" w:before="0"/>
        <w:jc w:val="both"/>
      </w:pPr>
      <w:r>
        <w:rPr>
          <w:rFonts w:ascii="Calibri" w:hAnsi="Calibri" w:eastAsia="Calibri"/>
          <w:color w:val="374151"/>
          <w:sz w:val="20"/>
        </w:rPr>
        <w:t>• Rapport de gestion : les sociétés commerciales qui sont des microentreprises ou des petites entreprises au sens de l’article L. 230-1 sont dispensées de l’établir, sauf sociétés relevant des catégories de l’article L. 123-16-2 et sociétés dont l’activité consiste à gérer des titres de participations ou des valeurs mobilières (art. L. 232-1, IV). Cette dispense est maintenue dans la rédaction de l’article L. 232-1 applicable au 1er janvier 2027 ; à compter de cette date, le rapport de gestion, lorsqu’il est établi, comporte en outre une rubrique sur le mécénat (art. L. 232-1, II, 5° bis, issu de la loi n° 2026-403 du 26 mai 2026). Relève de ces catégories la société qui, à la clôture, ne dépasse pas au moins deux des trois seuils suivants : 7 500 000 € de total du bilan, 15 000 000 € de chiffre d’affaires net, 50 salariés en moyenne (art. D. 230-1). Si la société est dispensée, adaptez l’ordre du jour et la liste des documents.</w:t>
      </w:r>
    </w:p>
    <w:p>
      <w:pPr>
        <w:spacing w:after="100" w:before="0"/>
        <w:jc w:val="both"/>
      </w:pPr>
      <w:r>
        <w:rPr>
          <w:rFonts w:ascii="Calibri" w:hAnsi="Calibri" w:eastAsia="Calibri"/>
          <w:color w:val="374151"/>
          <w:sz w:val="20"/>
        </w:rPr>
        <w:t>• Parts démembrées ou indivises : le nu-propriétaire et l’usufruitier ont l’un et l’autre le droit de participer aux décisions collectives (C. civ., art. 1844, al. 3) ; convoquez-les tous deux et adressez à chacun les documents, faute de quoi l’assemblée pourrait être annulée pour convocation irrégulière (C. com., art. L. 223-27), dans les conditions de l’article 1844-12-1 du code civil. Le droit de vote appartient au nu-propriétaire, sauf pour l’affectation des bénéfices, où il est réservé à l’usufruitier ; pour les autres décisions, ils peuvent convenir que l’usufruitier votera. Les statuts peuvent déroger à cette répartition du vote, mais non au droit de participer (art. 1844, al. 4). Les parts indivises sont représentées par un mandataire unique, sauf clause contraire des statuts (art. 1844, al. 2 et 4) : convoquez ce mandataire.</w:t>
      </w:r>
    </w:p>
    <w:p>
      <w:pPr>
        <w:spacing w:after="100" w:before="0"/>
        <w:jc w:val="both"/>
      </w:pPr>
      <w:r>
        <w:rPr>
          <w:rFonts w:ascii="Calibri" w:hAnsi="Calibri" w:eastAsia="Calibri"/>
          <w:color w:val="374151"/>
          <w:sz w:val="20"/>
        </w:rPr>
        <w:t>• Communication électronique : elle n’est possible qu’envers les associés qui y ont consenti par écrit, par lettre recommandée ou par voie électronique, au plus tard vingt jours avant l’assemblée ; à défaut, l’envoi postal reste obligatoire (art. R. 223-20). L’annexe 3 permet de recueillir cet accord pour les assemblées suivantes.</w:t>
      </w:r>
    </w:p>
    <w:p>
      <w:pPr>
        <w:spacing w:after="100" w:before="0"/>
        <w:jc w:val="both"/>
      </w:pPr>
      <w:r>
        <w:rPr>
          <w:rFonts w:ascii="Calibri" w:hAnsi="Calibri" w:eastAsia="Calibri"/>
          <w:color w:val="374151"/>
          <w:sz w:val="20"/>
        </w:rPr>
        <w:t>• Vote par correspondance et visioconférence : ils ne sont possibles que si les statuts les prévoient (art. L. 223-27). Le formulaire de vote doit permettre de voter pour, contre ou de s’abstenir sur chaque résolution, dans l’ordre de présentation, indiquer la date limite de réception et comporter les nom, prénom usuel et domicile de l’associé, le nombre de ses parts et sa signature, le cas échéant électronique (art. R. 223-20-1-1).</w:t>
      </w:r>
    </w:p>
    <w:p>
      <w:pPr>
        <w:spacing w:after="100" w:before="0"/>
        <w:jc w:val="both"/>
      </w:pPr>
      <w:r>
        <w:rPr>
          <w:rFonts w:ascii="Calibri" w:hAnsi="Calibri" w:eastAsia="Calibri"/>
          <w:color w:val="374151"/>
          <w:sz w:val="20"/>
        </w:rPr>
        <w:t>• Représentation : un associé peut se faire représenter par son conjoint (sauf si la société ne comprend que les deux époux), par un autre associé (sauf si les associés sont deux) et par une autre personne seulement si les statuts le permettent (art. L. 223-28). Le pouvoir vaut pour une seule assemblée, sauf exceptions de l’article R. 223-21.</w:t>
      </w:r>
    </w:p>
    <w:p>
      <w:pPr>
        <w:spacing w:after="100" w:before="0"/>
        <w:jc w:val="both"/>
      </w:pPr>
      <w:r>
        <w:rPr>
          <w:rFonts w:ascii="Calibri" w:hAnsi="Calibri" w:eastAsia="Calibri"/>
          <w:color w:val="374151"/>
          <w:sz w:val="20"/>
        </w:rPr>
        <w:t>• Nullité : une assemblée irrégulièrement convoquée peut être annulée ; l’action n’est toutefois pas recevable lorsque tous les associés étaient présents ou représentés (art. L. 223-27). Depuis le 1er octobre 2025, la nullité d’une décision sociale ne peut en outre être prononcée que si le demandeur justifie d’un grief, si l’irrégularité a eu une influence sur le sens de la décision et si les conséquences de la nullité ne sont pas excessives pour l’intérêt social (C. civ., art. 1844-12-1). Respectez néanmoins strictement les formes et délais, et conservez une copie de chaque convocation et les preuves d’envoi.</w:t>
      </w:r>
    </w:p>
    <w:p>
      <w:pPr>
        <w:spacing w:after="100" w:before="0"/>
        <w:jc w:val="both"/>
      </w:pPr>
      <w:r>
        <w:rPr>
          <w:rFonts w:ascii="Calibri" w:hAnsi="Calibri" w:eastAsia="Calibri"/>
          <w:color w:val="374151"/>
          <w:sz w:val="20"/>
        </w:rPr>
        <w:t>• Ce modèle vise la SARL à plusieurs associés. Dans une EURL, l’associé unique statue seul (art. L. 223-31) : utilisez le modèle de décisions de l’associé unique publié sur la même page.</w:t>
      </w:r>
    </w:p>
    <w:p>
      <w:pPr>
        <w:spacing w:after="100" w:before="0"/>
        <w:jc w:val="both"/>
      </w:pPr>
      <w:r>
        <w:rPr>
          <w:rFonts w:ascii="Calibri" w:hAnsi="Calibri" w:eastAsia="Calibri"/>
          <w:color w:val="374151"/>
          <w:sz w:val="20"/>
        </w:rPr>
        <w:t>• Supprimez l’en-tête « Modèle fourni à titre informatif… », les surlignages, les options inutiles et la présente page avant l’envoi. Conservez une copie de chaque envoi et les preuves de dépôt.</w:t>
      </w:r>
    </w:p>
    <w:p>
      <w:pPr>
        <w:spacing w:after="100" w:before="0"/>
        <w:jc w:val="both"/>
      </w:pPr>
      <w:r>
        <w:rPr>
          <w:rFonts w:ascii="Calibri" w:hAnsi="Calibri" w:eastAsia="Calibri"/>
          <w:color w:val="374151"/>
          <w:sz w:val="20"/>
        </w:rPr>
        <w:t>• Ce modèle est une base de travail : en cas de doute sur un délai, une majorité ou une clause des statuts, faites relire la convocation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Convocation à l’assemblée générale ordinaire annuelle de SARL</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