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jc w:val="center"/>
      </w:pPr>
      <w:r>
        <w:rPr>
          <w:rFonts w:ascii="Calibri" w:hAnsi="Calibri" w:eastAsia="Calibri"/>
          <w:b/>
          <w:sz w:val="26"/>
        </w:rPr>
        <w:t>CONVENTION DE COMPTE COURANT D’ASSOCIÉ</w:t>
      </w:r>
    </w:p>
    <w:p>
      <w:pPr>
        <w:spacing w:after="120" w:before="0"/>
      </w:pPr>
      <w:r>
        <w:rPr>
          <w:rFonts w:ascii="Calibri" w:hAnsi="Calibri" w:eastAsia="Calibri"/>
          <w:b/>
          <w:sz w:val="22"/>
        </w:rPr>
        <w:t>ENTRE LES SOUSSIGNÉS :</w:t>
      </w:r>
    </w:p>
    <w:p>
      <w:pPr>
        <w:spacing w:after="160" w:before="0"/>
        <w:jc w:val="both"/>
      </w:pPr>
      <w:r>
        <w:rPr>
          <w:rFonts w:ascii="Calibri" w:hAnsi="Calibri" w:eastAsia="Calibri"/>
          <w:sz w:val="22"/>
        </w:rPr>
        <w:t xml:space="preserve">La société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[forme sociale]</w:t>
      </w:r>
      <w:r>
        <w:rPr>
          <w:rFonts w:ascii="Calibri" w:hAnsi="Calibri" w:eastAsia="Calibri"/>
          <w:sz w:val="22"/>
        </w:rPr>
        <w:t xml:space="preserve"> au capital de </w:t>
      </w:r>
      <w:r>
        <w:rPr>
          <w:rFonts w:ascii="Calibri" w:hAnsi="Calibri" w:eastAsia="Calibri"/>
          <w:sz w:val="22"/>
          <w:highlight w:val="yellow"/>
        </w:rPr>
        <w:t>[montant]</w:t>
      </w:r>
      <w:r>
        <w:rPr>
          <w:rFonts w:ascii="Calibri" w:hAnsi="Calibri" w:eastAsia="Calibri"/>
          <w:sz w:val="22"/>
        </w:rPr>
        <w:t xml:space="preserve"> €, dont le siège social est situé </w:t>
      </w:r>
      <w:r>
        <w:rPr>
          <w:rFonts w:ascii="Calibri" w:hAnsi="Calibri" w:eastAsia="Calibri"/>
          <w:sz w:val="22"/>
          <w:highlight w:val="yellow"/>
        </w:rPr>
        <w:t>[adresse]</w:t>
      </w:r>
      <w:r>
        <w:rPr>
          <w:rFonts w:ascii="Calibri" w:hAnsi="Calibri" w:eastAsia="Calibri"/>
          <w:sz w:val="22"/>
        </w:rPr>
        <w:t xml:space="preserve">, immatriculée au registre du commerce et des sociétés de </w:t>
      </w:r>
      <w:r>
        <w:rPr>
          <w:rFonts w:ascii="Calibri" w:hAnsi="Calibri" w:eastAsia="Calibri"/>
          <w:sz w:val="22"/>
          <w:highlight w:val="yellow"/>
        </w:rPr>
        <w:t>[ville]</w:t>
      </w:r>
      <w:r>
        <w:rPr>
          <w:rFonts w:ascii="Calibri" w:hAnsi="Calibri" w:eastAsia="Calibri"/>
          <w:sz w:val="22"/>
        </w:rPr>
        <w:t xml:space="preserve"> sous le n° </w:t>
      </w:r>
      <w:r>
        <w:rPr>
          <w:rFonts w:ascii="Calibri" w:hAnsi="Calibri" w:eastAsia="Calibri"/>
          <w:sz w:val="22"/>
          <w:highlight w:val="yellow"/>
        </w:rPr>
        <w:t>[SIREN]</w:t>
      </w:r>
      <w:r>
        <w:rPr>
          <w:rFonts w:ascii="Calibri" w:hAnsi="Calibri" w:eastAsia="Calibri"/>
          <w:sz w:val="22"/>
        </w:rPr>
        <w:t xml:space="preserve">, représentée par </w:t>
      </w:r>
      <w:r>
        <w:rPr>
          <w:rFonts w:ascii="Calibri" w:hAnsi="Calibri" w:eastAsia="Calibri"/>
          <w:sz w:val="22"/>
          <w:highlight w:val="yellow"/>
        </w:rPr>
        <w:t>[Prénom NOM]</w:t>
      </w:r>
      <w:r>
        <w:rPr>
          <w:rFonts w:ascii="Calibri" w:hAnsi="Calibri" w:eastAsia="Calibri"/>
          <w:sz w:val="22"/>
        </w:rPr>
        <w:t xml:space="preserve">, en qualité de </w:t>
      </w:r>
      <w:r>
        <w:rPr>
          <w:rFonts w:ascii="Calibri" w:hAnsi="Calibri" w:eastAsia="Calibri"/>
          <w:sz w:val="22"/>
          <w:highlight w:val="yellow"/>
        </w:rPr>
        <w:t>[gérant / Président]</w:t>
      </w:r>
      <w:r>
        <w:rPr>
          <w:rFonts w:ascii="Calibri" w:hAnsi="Calibri" w:eastAsia="Calibri"/>
          <w:sz w:val="22"/>
        </w:rPr>
        <w:t xml:space="preserve">, dûment habilité(e) </w:t>
      </w:r>
      <w:r>
        <w:rPr>
          <w:rFonts w:ascii="Calibri" w:hAnsi="Calibri" w:eastAsia="Calibri"/>
          <w:sz w:val="22"/>
          <w:highlight w:val="yellow"/>
        </w:rPr>
        <w:t>[en vertu des statuts / de la décision des associés du …]</w:t>
      </w:r>
      <w:r>
        <w:rPr>
          <w:rFonts w:ascii="Calibri" w:hAnsi="Calibri" w:eastAsia="Calibri"/>
          <w:sz w:val="22"/>
        </w:rPr>
        <w:t>,</w:t>
      </w:r>
    </w:p>
    <w:p>
      <w:pPr>
        <w:spacing w:after="120" w:before="0"/>
        <w:jc w:val="both"/>
      </w:pPr>
      <w:r>
        <w:rPr>
          <w:rFonts w:ascii="Calibri" w:hAnsi="Calibri" w:eastAsia="Calibri"/>
          <w:sz w:val="22"/>
        </w:rPr>
        <w:t>ci-après « la Société »,</w:t>
      </w:r>
    </w:p>
    <w:p>
      <w:pPr>
        <w:spacing w:after="120" w:before="0"/>
      </w:pPr>
      <w:r>
        <w:rPr>
          <w:rFonts w:ascii="Calibri" w:hAnsi="Calibri" w:eastAsia="Calibri"/>
          <w:b/>
          <w:sz w:val="22"/>
        </w:rPr>
        <w:t>ET</w:t>
      </w:r>
    </w:p>
    <w:p>
      <w:pPr>
        <w:spacing w:after="160" w:before="0"/>
        <w:jc w:val="both"/>
      </w:pP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[ou : la société …, au capital de … €, siège …, RCS … n° …, représentée par …]</w:t>
      </w:r>
      <w:r>
        <w:rPr>
          <w:rFonts w:ascii="Calibri" w:hAnsi="Calibri" w:eastAsia="Calibri"/>
          <w:sz w:val="22"/>
        </w:rPr>
        <w:t>,</w:t>
      </w:r>
      <w:r>
        <w:rPr>
          <w:rFonts w:ascii="Calibri" w:hAnsi="Calibri" w:eastAsia="Calibri"/>
          <w:sz w:val="22"/>
        </w:rPr>
        <w:t xml:space="preserve"> titulaire de </w:t>
      </w:r>
      <w:r>
        <w:rPr>
          <w:rFonts w:ascii="Calibri" w:hAnsi="Calibri" w:eastAsia="Calibri"/>
          <w:sz w:val="22"/>
          <w:highlight w:val="yellow"/>
        </w:rPr>
        <w:t>[nombre]</w:t>
      </w:r>
      <w:r>
        <w:rPr>
          <w:rFonts w:ascii="Calibri" w:hAnsi="Calibri" w:eastAsia="Calibri"/>
          <w:sz w:val="22"/>
        </w:rPr>
        <w:t xml:space="preserve"> </w:t>
      </w:r>
      <w:r>
        <w:rPr>
          <w:rFonts w:ascii="Calibri" w:hAnsi="Calibri" w:eastAsia="Calibri"/>
          <w:sz w:val="22"/>
          <w:highlight w:val="yellow"/>
        </w:rPr>
        <w:t>[parts sociales / actions]</w:t>
      </w:r>
      <w:r>
        <w:rPr>
          <w:rFonts w:ascii="Calibri" w:hAnsi="Calibri" w:eastAsia="Calibri"/>
          <w:sz w:val="22"/>
        </w:rPr>
        <w:t xml:space="preserve"> de la Société, représentant </w:t>
      </w:r>
      <w:r>
        <w:rPr>
          <w:rFonts w:ascii="Calibri" w:hAnsi="Calibri" w:eastAsia="Calibri"/>
          <w:sz w:val="22"/>
          <w:highlight w:val="yellow"/>
        </w:rPr>
        <w:t>[…]</w:t>
      </w:r>
      <w:r>
        <w:rPr>
          <w:rFonts w:ascii="Calibri" w:hAnsi="Calibri" w:eastAsia="Calibri"/>
          <w:sz w:val="22"/>
        </w:rPr>
        <w:t xml:space="preserve"> % du capital et </w:t>
      </w:r>
      <w:r>
        <w:rPr>
          <w:rFonts w:ascii="Calibri" w:hAnsi="Calibri" w:eastAsia="Calibri"/>
          <w:sz w:val="22"/>
          <w:highlight w:val="yellow"/>
        </w:rPr>
        <w:t>[…]</w:t>
      </w:r>
      <w:r>
        <w:rPr>
          <w:rFonts w:ascii="Calibri" w:hAnsi="Calibri" w:eastAsia="Calibri"/>
          <w:sz w:val="22"/>
        </w:rPr>
        <w:t xml:space="preserve"> % des droits de vote,</w:t>
      </w:r>
    </w:p>
    <w:p>
      <w:pPr>
        <w:spacing w:after="200" w:before="0"/>
        <w:jc w:val="both"/>
      </w:pPr>
      <w:r>
        <w:rPr>
          <w:rFonts w:ascii="Calibri" w:hAnsi="Calibri" w:eastAsia="Calibri"/>
          <w:sz w:val="22"/>
        </w:rPr>
        <w:t>ci-après « l’Associé »,</w:t>
      </w:r>
    </w:p>
    <w:p>
      <w:pPr>
        <w:spacing w:after="120" w:before="0"/>
      </w:pPr>
      <w:r>
        <w:rPr>
          <w:rFonts w:ascii="Calibri" w:hAnsi="Calibri" w:eastAsia="Calibri"/>
          <w:b/>
          <w:sz w:val="22"/>
        </w:rPr>
        <w:t>IL A ÉTÉ PRÉALABLEMENT EXPOSÉ CE QUI SUIT :</w:t>
      </w:r>
    </w:p>
    <w:p>
      <w:pPr>
        <w:spacing w:after="200" w:before="0"/>
        <w:jc w:val="both"/>
      </w:pPr>
      <w:r>
        <w:rPr>
          <w:rFonts w:ascii="Calibri" w:hAnsi="Calibri" w:eastAsia="Calibri"/>
          <w:sz w:val="22"/>
        </w:rPr>
        <w:t xml:space="preserve">L’Associé a accepté de mettre des fonds à la disposition de la Société afin de </w:t>
      </w:r>
      <w:r>
        <w:rPr>
          <w:rFonts w:ascii="Calibri" w:hAnsi="Calibri" w:eastAsia="Calibri"/>
          <w:sz w:val="22"/>
          <w:highlight w:val="yellow"/>
        </w:rPr>
        <w:t>[financer … / renforcer sa trésorerie / …]</w:t>
      </w:r>
      <w:r>
        <w:rPr>
          <w:rFonts w:ascii="Calibri" w:hAnsi="Calibri" w:eastAsia="Calibri"/>
          <w:sz w:val="22"/>
        </w:rPr>
        <w:t>. Les parties souhaitent fixer par écrit les conditions de cette avance en compte courant, notamment son éventuelle rémunération et les modalités de son remboursement.</w:t>
      </w:r>
    </w:p>
    <w:p>
      <w:pPr>
        <w:spacing w:after="200" w:before="0"/>
      </w:pPr>
      <w:r>
        <w:rPr>
          <w:rFonts w:ascii="Calibri" w:hAnsi="Calibri" w:eastAsia="Calibri"/>
          <w:b/>
          <w:sz w:val="22"/>
        </w:rPr>
        <w:t>CECI EXPOSÉ, IL A ÉTÉ CONVENU CE QUI SUIT :</w:t>
      </w:r>
    </w:p>
    <w:p>
      <w:pPr>
        <w:spacing w:after="80" w:before="0"/>
      </w:pPr>
      <w:r>
        <w:rPr>
          <w:rFonts w:ascii="Calibri" w:hAnsi="Calibri" w:eastAsia="Calibri"/>
          <w:b/>
          <w:sz w:val="22"/>
        </w:rPr>
        <w:t>Article 1 — Objet</w:t>
      </w:r>
    </w:p>
    <w:p>
      <w:pPr>
        <w:spacing w:after="120" w:before="0"/>
        <w:jc w:val="both"/>
      </w:pPr>
      <w:r>
        <w:rPr>
          <w:rFonts w:ascii="Calibri" w:hAnsi="Calibri" w:eastAsia="Calibri"/>
          <w:sz w:val="22"/>
        </w:rPr>
        <w:t xml:space="preserve">L’Associé met à la disposition de la Société, en compte courant, la somme de </w:t>
      </w:r>
      <w:r>
        <w:rPr>
          <w:rFonts w:ascii="Calibri" w:hAnsi="Calibri" w:eastAsia="Calibri"/>
          <w:sz w:val="22"/>
          <w:highlight w:val="yellow"/>
        </w:rPr>
        <w:t>[montant en lettres]</w:t>
      </w:r>
      <w:r>
        <w:rPr>
          <w:rFonts w:ascii="Calibri" w:hAnsi="Calibri" w:eastAsia="Calibri"/>
          <w:sz w:val="22"/>
        </w:rPr>
        <w:t xml:space="preserve"> euros (</w:t>
      </w:r>
      <w:r>
        <w:rPr>
          <w:rFonts w:ascii="Calibri" w:hAnsi="Calibri" w:eastAsia="Calibri"/>
          <w:sz w:val="22"/>
          <w:highlight w:val="yellow"/>
        </w:rPr>
        <w:t>[montant en chiffres]</w:t>
      </w:r>
      <w:r>
        <w:rPr>
          <w:rFonts w:ascii="Calibri" w:hAnsi="Calibri" w:eastAsia="Calibri"/>
          <w:sz w:val="22"/>
        </w:rPr>
        <w:t xml:space="preserve"> €), </w:t>
      </w:r>
      <w:r>
        <w:rPr>
          <w:rFonts w:ascii="Calibri" w:hAnsi="Calibri" w:eastAsia="Calibri"/>
          <w:sz w:val="22"/>
          <w:highlight w:val="yellow"/>
        </w:rPr>
        <w:t>[versée ce jour par virement sur le compte bancaire de la Société / qui sera versée au plus tard le …]</w:t>
      </w:r>
      <w:r>
        <w:rPr>
          <w:rFonts w:ascii="Calibri" w:hAnsi="Calibri" w:eastAsia="Calibri"/>
          <w:sz w:val="22"/>
        </w:rPr>
        <w:t>.</w:t>
      </w:r>
    </w:p>
    <w:p>
      <w:pPr>
        <w:spacing w:after="120" w:before="0"/>
        <w:jc w:val="both"/>
      </w:pPr>
      <w:r>
        <w:rPr>
          <w:rFonts w:ascii="Calibri" w:hAnsi="Calibri" w:eastAsia="Calibri"/>
          <w:sz w:val="22"/>
          <w:highlight w:val="yellow"/>
        </w:rPr>
        <w:t>[Option : L’Associé pourra effectuer des apports complémentaires dans la limite d’un montant global de … €, chaque versement étant constaté par écrit / Tout apport complémentaire fera l’objet d’un avenant.]</w:t>
      </w:r>
    </w:p>
    <w:p>
      <w:pPr>
        <w:spacing w:after="80"/>
      </w:pPr>
    </w:p>
    <w:p>
      <w:pPr>
        <w:spacing w:after="80" w:before="0"/>
      </w:pPr>
      <w:r>
        <w:rPr>
          <w:rFonts w:ascii="Calibri" w:hAnsi="Calibri" w:eastAsia="Calibri"/>
          <w:b/>
          <w:sz w:val="22"/>
        </w:rPr>
        <w:t>Article 2 — Tenue du compte</w:t>
      </w:r>
    </w:p>
    <w:p>
      <w:pPr>
        <w:spacing w:after="120" w:before="0"/>
        <w:jc w:val="both"/>
      </w:pPr>
      <w:r>
        <w:rPr>
          <w:rFonts w:ascii="Calibri" w:hAnsi="Calibri" w:eastAsia="Calibri"/>
          <w:sz w:val="22"/>
        </w:rPr>
        <w:t xml:space="preserve">Les sommes versées sont inscrites au crédit d’un compte courant ouvert au nom de l’Associé dans les livres de la Société. La Société adresse à l’Associé, au plus tard </w:t>
      </w:r>
      <w:r>
        <w:rPr>
          <w:rFonts w:ascii="Calibri" w:hAnsi="Calibri" w:eastAsia="Calibri"/>
          <w:sz w:val="22"/>
          <w:highlight w:val="yellow"/>
        </w:rPr>
        <w:t>[un mois]</w:t>
      </w:r>
      <w:r>
        <w:rPr>
          <w:rFonts w:ascii="Calibri" w:hAnsi="Calibri" w:eastAsia="Calibri"/>
          <w:sz w:val="22"/>
        </w:rPr>
        <w:t xml:space="preserve"> après la clôture de chaque exercice, un relevé du solde du compte et des intérêts éventuellement dus.</w:t>
      </w:r>
    </w:p>
    <w:p>
      <w:pPr>
        <w:spacing w:after="120" w:before="0"/>
        <w:jc w:val="both"/>
      </w:pPr>
      <w:r>
        <w:rPr>
          <w:rFonts w:ascii="Calibri" w:hAnsi="Calibri" w:eastAsia="Calibri"/>
          <w:sz w:val="22"/>
        </w:rPr>
        <w:t>Le compte courant de l’Associé ne peut à aucun moment présenter un solde débiteur.</w:t>
      </w:r>
    </w:p>
    <w:p>
      <w:pPr>
        <w:spacing w:after="80"/>
      </w:pPr>
    </w:p>
    <w:p>
      <w:pPr>
        <w:spacing w:after="80" w:before="0"/>
      </w:pPr>
      <w:r>
        <w:rPr>
          <w:rFonts w:ascii="Calibri" w:hAnsi="Calibri" w:eastAsia="Calibri"/>
          <w:b/>
          <w:sz w:val="22"/>
        </w:rPr>
        <w:t>Article 3 — Rémunération</w:t>
      </w:r>
    </w:p>
    <w:p>
      <w:pPr>
        <w:spacing w:after="120" w:before="0"/>
        <w:jc w:val="both"/>
      </w:pPr>
      <w:r>
        <w:rPr>
          <w:rFonts w:ascii="Calibri" w:hAnsi="Calibri" w:eastAsia="Calibri"/>
          <w:b/>
          <w:sz w:val="22"/>
          <w:highlight w:val="yellow"/>
        </w:rPr>
        <w:t>[Option A — sans intérêts]</w:t>
      </w:r>
      <w:r>
        <w:rPr>
          <w:rFonts w:ascii="Calibri" w:hAnsi="Calibri" w:eastAsia="Calibri"/>
          <w:sz w:val="22"/>
        </w:rPr>
        <w:t xml:space="preserve"> Les sommes mises à disposition ne portent pas intérêt.</w:t>
      </w:r>
    </w:p>
    <w:p>
      <w:pPr>
        <w:spacing w:after="120" w:before="0"/>
        <w:jc w:val="both"/>
      </w:pPr>
      <w:r>
        <w:rPr>
          <w:rFonts w:ascii="Calibri" w:hAnsi="Calibri" w:eastAsia="Calibri"/>
          <w:b/>
          <w:sz w:val="22"/>
          <w:highlight w:val="yellow"/>
        </w:rPr>
        <w:t>[Option B — avec intérêts]</w:t>
      </w:r>
      <w:r>
        <w:rPr>
          <w:rFonts w:ascii="Calibri" w:hAnsi="Calibri" w:eastAsia="Calibri"/>
          <w:sz w:val="22"/>
        </w:rPr>
        <w:t xml:space="preserve"> Les sommes inscrites au crédit du compte portent intérêt au taux annuel de </w:t>
      </w:r>
      <w:r>
        <w:rPr>
          <w:rFonts w:ascii="Calibri" w:hAnsi="Calibri" w:eastAsia="Calibri"/>
          <w:sz w:val="22"/>
          <w:highlight w:val="yellow"/>
        </w:rPr>
        <w:t>[…]</w:t>
      </w:r>
      <w:r>
        <w:rPr>
          <w:rFonts w:ascii="Calibri" w:hAnsi="Calibri" w:eastAsia="Calibri"/>
          <w:sz w:val="22"/>
        </w:rPr>
        <w:t xml:space="preserve"> %, calculé prorata temporis sur le solde créditeur. Les intérêts sont </w:t>
      </w:r>
      <w:r>
        <w:rPr>
          <w:rFonts w:ascii="Calibri" w:hAnsi="Calibri" w:eastAsia="Calibri"/>
          <w:sz w:val="22"/>
          <w:highlight w:val="yellow"/>
        </w:rPr>
        <w:t>[payés annuellement, dans le mois suivant l’approbation des comptes de l’exercice / portés au crédit du compte à la clôture de chaque exercice]</w:t>
      </w:r>
      <w:r>
        <w:rPr>
          <w:rFonts w:ascii="Calibri" w:hAnsi="Calibri" w:eastAsia="Calibri"/>
          <w:sz w:val="22"/>
        </w:rPr>
        <w:t>.</w:t>
      </w:r>
    </w:p>
    <w:p>
      <w:pPr>
        <w:spacing w:after="120" w:before="0"/>
        <w:jc w:val="both"/>
      </w:pPr>
      <w:r>
        <w:rPr>
          <w:rFonts w:ascii="Calibri" w:hAnsi="Calibri" w:eastAsia="Calibri"/>
          <w:sz w:val="22"/>
          <w:highlight w:val="yellow"/>
        </w:rPr>
        <w:t>[Option : les intérêts échus, dus au moins pour une année entière, produiront eux-mêmes intérêt.]</w:t>
      </w:r>
    </w:p>
    <w:p>
      <w:pPr>
        <w:spacing w:after="80"/>
      </w:pPr>
    </w:p>
    <w:p>
      <w:pPr>
        <w:spacing w:after="80" w:before="0"/>
      </w:pPr>
      <w:r>
        <w:rPr>
          <w:rFonts w:ascii="Calibri" w:hAnsi="Calibri" w:eastAsia="Calibri"/>
          <w:b/>
          <w:sz w:val="22"/>
        </w:rPr>
        <w:t>Article 4 — Durée et disponibilité des fonds</w:t>
      </w:r>
    </w:p>
    <w:p>
      <w:pPr>
        <w:spacing w:after="120" w:before="0"/>
        <w:jc w:val="both"/>
      </w:pPr>
      <w:r>
        <w:rPr>
          <w:rFonts w:ascii="Calibri" w:hAnsi="Calibri" w:eastAsia="Calibri"/>
          <w:b/>
          <w:sz w:val="22"/>
          <w:highlight w:val="yellow"/>
        </w:rPr>
        <w:t>[Option A — fonds disponibles]</w:t>
      </w:r>
      <w:r>
        <w:rPr>
          <w:rFonts w:ascii="Calibri" w:hAnsi="Calibri" w:eastAsia="Calibri"/>
          <w:sz w:val="22"/>
        </w:rPr>
        <w:t xml:space="preserve"> L’Associé peut demander à tout moment le remboursement de tout ou partie du solde de son compte, moyennant un préavis de </w:t>
      </w:r>
      <w:r>
        <w:rPr>
          <w:rFonts w:ascii="Calibri" w:hAnsi="Calibri" w:eastAsia="Calibri"/>
          <w:sz w:val="22"/>
          <w:highlight w:val="yellow"/>
        </w:rPr>
        <w:t>[…]</w:t>
      </w:r>
      <w:r>
        <w:rPr>
          <w:rFonts w:ascii="Calibri" w:hAnsi="Calibri" w:eastAsia="Calibri"/>
          <w:sz w:val="22"/>
        </w:rPr>
        <w:t xml:space="preserve"> jours notifié à la Société par lettre recommandée avec demande d’avis de réception.</w:t>
      </w:r>
    </w:p>
    <w:p>
      <w:pPr>
        <w:spacing w:after="120" w:before="0"/>
        <w:jc w:val="both"/>
      </w:pPr>
      <w:r>
        <w:rPr>
          <w:rFonts w:ascii="Calibri" w:hAnsi="Calibri" w:eastAsia="Calibri"/>
          <w:b/>
          <w:sz w:val="22"/>
          <w:highlight w:val="yellow"/>
        </w:rPr>
        <w:t>[Option B — fonds bloqués]</w:t>
      </w:r>
      <w:r>
        <w:rPr>
          <w:rFonts w:ascii="Calibri" w:hAnsi="Calibri" w:eastAsia="Calibri"/>
          <w:sz w:val="22"/>
        </w:rPr>
        <w:t xml:space="preserve"> L’Associé s’interdit de demander le remboursement de tout ou partie des sommes mises à disposition avant le </w:t>
      </w:r>
      <w:r>
        <w:rPr>
          <w:rFonts w:ascii="Calibri" w:hAnsi="Calibri" w:eastAsia="Calibri"/>
          <w:sz w:val="22"/>
          <w:highlight w:val="yellow"/>
        </w:rPr>
        <w:t>[date]</w:t>
      </w:r>
      <w:r>
        <w:rPr>
          <w:rFonts w:ascii="Calibri" w:hAnsi="Calibri" w:eastAsia="Calibri"/>
          <w:sz w:val="22"/>
        </w:rPr>
        <w:t>. À l’expiration de ce délai, le solde devient remboursable dans les conditions de l’option A.</w:t>
      </w:r>
    </w:p>
    <w:p>
      <w:pPr>
        <w:spacing w:after="120" w:before="0"/>
        <w:jc w:val="both"/>
      </w:pPr>
      <w:r>
        <w:rPr>
          <w:rFonts w:ascii="Calibri" w:hAnsi="Calibri" w:eastAsia="Calibri"/>
          <w:sz w:val="22"/>
          <w:highlight w:val="yellow"/>
        </w:rPr>
        <w:t>[Le cas échéant : engagement de blocage ou de subordination au profit d’un établissement de crédit, à reproduire dans les termes exigés par celui-ci.]</w:t>
      </w:r>
    </w:p>
    <w:p>
      <w:pPr>
        <w:spacing w:after="80"/>
      </w:pPr>
    </w:p>
    <w:p>
      <w:pPr>
        <w:spacing w:after="80" w:before="0"/>
      </w:pPr>
      <w:r>
        <w:rPr>
          <w:rFonts w:ascii="Calibri" w:hAnsi="Calibri" w:eastAsia="Calibri"/>
          <w:b/>
          <w:sz w:val="22"/>
        </w:rPr>
        <w:t>Article 5 — Remboursement</w:t>
      </w:r>
    </w:p>
    <w:p>
      <w:pPr>
        <w:spacing w:after="120" w:before="0"/>
        <w:jc w:val="both"/>
      </w:pPr>
      <w:r>
        <w:rPr>
          <w:rFonts w:ascii="Calibri" w:hAnsi="Calibri" w:eastAsia="Calibri"/>
          <w:sz w:val="22"/>
        </w:rPr>
        <w:t xml:space="preserve">Le remboursement est effectué par virement sur le compte bancaire désigné par l’Associé. La Société peut rembourser par anticipation tout ou partie du solde, </w:t>
      </w:r>
      <w:r>
        <w:rPr>
          <w:rFonts w:ascii="Calibri" w:hAnsi="Calibri" w:eastAsia="Calibri"/>
          <w:sz w:val="22"/>
          <w:highlight w:val="yellow"/>
        </w:rPr>
        <w:t>[à tout moment / moyennant un préavis de … jours]</w:t>
      </w:r>
      <w:r>
        <w:rPr>
          <w:rFonts w:ascii="Calibri" w:hAnsi="Calibri" w:eastAsia="Calibri"/>
          <w:sz w:val="22"/>
        </w:rPr>
        <w:t>, sous réserve des engagements de blocage éventuellement souscrits.</w:t>
      </w:r>
    </w:p>
    <w:p>
      <w:pPr>
        <w:spacing w:after="80"/>
      </w:pPr>
    </w:p>
    <w:p>
      <w:pPr>
        <w:spacing w:after="80" w:before="0"/>
      </w:pPr>
      <w:r>
        <w:rPr>
          <w:rFonts w:ascii="Calibri" w:hAnsi="Calibri" w:eastAsia="Calibri"/>
          <w:b/>
          <w:sz w:val="22"/>
        </w:rPr>
        <w:t>Article 6 — Cession des titres de l’Associé</w:t>
      </w:r>
    </w:p>
    <w:p>
      <w:pPr>
        <w:spacing w:after="120" w:before="0"/>
        <w:jc w:val="both"/>
      </w:pPr>
      <w:r>
        <w:rPr>
          <w:rFonts w:ascii="Calibri" w:hAnsi="Calibri" w:eastAsia="Calibri"/>
          <w:sz w:val="22"/>
        </w:rPr>
        <w:t xml:space="preserve">En cas de cession par l’Associé de la totalité de ses </w:t>
      </w:r>
      <w:r>
        <w:rPr>
          <w:rFonts w:ascii="Calibri" w:hAnsi="Calibri" w:eastAsia="Calibri"/>
          <w:sz w:val="22"/>
          <w:highlight w:val="yellow"/>
        </w:rPr>
        <w:t>[parts / actions]</w:t>
      </w:r>
      <w:r>
        <w:rPr>
          <w:rFonts w:ascii="Calibri" w:hAnsi="Calibri" w:eastAsia="Calibri"/>
          <w:sz w:val="22"/>
        </w:rPr>
        <w:t xml:space="preserve">, le solde de son compte courant </w:t>
      </w:r>
      <w:r>
        <w:rPr>
          <w:rFonts w:ascii="Calibri" w:hAnsi="Calibri" w:eastAsia="Calibri"/>
          <w:sz w:val="22"/>
          <w:highlight w:val="yellow"/>
        </w:rPr>
        <w:t>[devient exigible à la date de la cession / est remboursé dans un délai de … mois à compter de la cession / est cédé au cessionnaire des titres, avec l’accord de la Société]</w:t>
      </w:r>
      <w:r>
        <w:rPr>
          <w:rFonts w:ascii="Calibri" w:hAnsi="Calibri" w:eastAsia="Calibri"/>
          <w:sz w:val="22"/>
        </w:rPr>
        <w:t>.</w:t>
      </w:r>
    </w:p>
    <w:p>
      <w:pPr>
        <w:spacing w:after="80"/>
      </w:pPr>
    </w:p>
    <w:p>
      <w:pPr>
        <w:spacing w:after="80" w:before="0"/>
      </w:pPr>
      <w:r>
        <w:rPr>
          <w:rFonts w:ascii="Calibri" w:hAnsi="Calibri" w:eastAsia="Calibri"/>
          <w:b/>
          <w:sz w:val="22"/>
        </w:rPr>
        <w:t>Article 7 — Augmentation de capital</w:t>
      </w:r>
    </w:p>
    <w:p>
      <w:pPr>
        <w:spacing w:after="120" w:before="0"/>
        <w:jc w:val="both"/>
      </w:pPr>
      <w:r>
        <w:rPr>
          <w:rFonts w:ascii="Calibri" w:hAnsi="Calibri" w:eastAsia="Calibri"/>
          <w:sz w:val="22"/>
          <w:highlight w:val="yellow"/>
        </w:rPr>
        <w:t>[Facultatif : la créance de l’Associé pourra, s’il y consent, être utilisée pour souscrire à une augmentation de capital décidée par les associés, selon les règles applicables à cette opération.]</w:t>
      </w:r>
    </w:p>
    <w:p>
      <w:pPr>
        <w:spacing w:after="80"/>
      </w:pPr>
    </w:p>
    <w:p>
      <w:pPr>
        <w:spacing w:after="80" w:before="0"/>
      </w:pPr>
      <w:r>
        <w:rPr>
          <w:rFonts w:ascii="Calibri" w:hAnsi="Calibri" w:eastAsia="Calibri"/>
          <w:b/>
          <w:sz w:val="22"/>
        </w:rPr>
        <w:t>Article 8 — Approbation de la convention</w:t>
      </w:r>
    </w:p>
    <w:p>
      <w:pPr>
        <w:spacing w:after="120" w:before="0"/>
        <w:jc w:val="both"/>
      </w:pPr>
      <w:r>
        <w:rPr>
          <w:rFonts w:ascii="Calibri" w:hAnsi="Calibri" w:eastAsia="Calibri"/>
          <w:sz w:val="22"/>
        </w:rPr>
        <w:t xml:space="preserve">La présente convention, conclue entre la Société et l’un de ses associés </w:t>
      </w:r>
      <w:r>
        <w:rPr>
          <w:rFonts w:ascii="Calibri" w:hAnsi="Calibri" w:eastAsia="Calibri"/>
          <w:sz w:val="22"/>
          <w:highlight w:val="yellow"/>
        </w:rPr>
        <w:t>[et dirigeants]</w:t>
      </w:r>
      <w:r>
        <w:rPr>
          <w:rFonts w:ascii="Calibri" w:hAnsi="Calibri" w:eastAsia="Calibri"/>
          <w:sz w:val="22"/>
        </w:rPr>
        <w:t xml:space="preserve">, sera </w:t>
      </w:r>
      <w:r>
        <w:rPr>
          <w:rFonts w:ascii="Calibri" w:hAnsi="Calibri" w:eastAsia="Calibri"/>
          <w:sz w:val="22"/>
          <w:highlight w:val="yellow"/>
        </w:rPr>
        <w:t>[soumise à la procédure des conventions réglementées (C. com., art. L. 223-19 pour une SARL / art. L. 227-10 pour une SAS) / mentionnée au registre des décisions de l’associé unique / soumise à l’autorisation prévue par les statuts]</w:t>
      </w:r>
      <w:r>
        <w:rPr>
          <w:rFonts w:ascii="Calibri" w:hAnsi="Calibri" w:eastAsia="Calibri"/>
          <w:sz w:val="22"/>
        </w:rPr>
        <w:t>.</w:t>
      </w:r>
    </w:p>
    <w:p>
      <w:pPr>
        <w:spacing w:after="80"/>
      </w:pPr>
    </w:p>
    <w:p>
      <w:pPr>
        <w:spacing w:after="80" w:before="0"/>
      </w:pPr>
      <w:r>
        <w:rPr>
          <w:rFonts w:ascii="Calibri" w:hAnsi="Calibri" w:eastAsia="Calibri"/>
          <w:b/>
          <w:sz w:val="22"/>
        </w:rPr>
        <w:t>Article 9 — Fiscalité et frais</w:t>
      </w:r>
    </w:p>
    <w:p>
      <w:pPr>
        <w:spacing w:after="120" w:before="0"/>
        <w:jc w:val="both"/>
      </w:pPr>
      <w:r>
        <w:rPr>
          <w:rFonts w:ascii="Calibri" w:hAnsi="Calibri" w:eastAsia="Calibri"/>
          <w:sz w:val="22"/>
          <w:highlight w:val="yellow"/>
        </w:rPr>
        <w:t>[Option B — avec intérêts, Associé personne physique fiscalement domiciliée en France :]</w:t>
      </w:r>
      <w:r>
        <w:rPr>
          <w:rFonts w:ascii="Calibri" w:hAnsi="Calibri" w:eastAsia="Calibri"/>
          <w:sz w:val="22"/>
        </w:rPr>
        <w:t xml:space="preserve"> La Société, qui assure le paiement des intérêts, opère sur leur montant brut le prélèvement prévu à l’article 125 A du code général des impôts, sauf si l’Associé a demandé à en être dispensé dans les conditions de l’article 242 quater du même code, et accomplit les formalités déclaratives et de paiement correspondantes </w:t>
      </w:r>
      <w:r>
        <w:rPr>
          <w:rFonts w:ascii="Calibri" w:hAnsi="Calibri" w:eastAsia="Calibri"/>
          <w:sz w:val="22"/>
          <w:highlight w:val="yellow"/>
        </w:rPr>
        <w:t>[ainsi que, le cas échéant, la retenue des prélèvements sociaux qui lui incombe]</w:t>
      </w:r>
      <w:r>
        <w:rPr>
          <w:rFonts w:ascii="Calibri" w:hAnsi="Calibri" w:eastAsia="Calibri"/>
          <w:sz w:val="22"/>
        </w:rPr>
        <w:t>.</w:t>
      </w:r>
    </w:p>
    <w:p>
      <w:pPr>
        <w:spacing w:after="120" w:before="0"/>
        <w:jc w:val="both"/>
      </w:pPr>
      <w:r>
        <w:rPr>
          <w:rFonts w:ascii="Calibri" w:hAnsi="Calibri" w:eastAsia="Calibri"/>
          <w:sz w:val="22"/>
        </w:rPr>
        <w:t xml:space="preserve">Sous cette réserve, chaque partie fait son affaire des conséquences fiscales et sociales de la présente convention qui la concernent. Les frais éventuels d’établissement de la présente convention sont à la charge de </w:t>
      </w:r>
      <w:r>
        <w:rPr>
          <w:rFonts w:ascii="Calibri" w:hAnsi="Calibri" w:eastAsia="Calibri"/>
          <w:sz w:val="22"/>
          <w:highlight w:val="yellow"/>
        </w:rPr>
        <w:t>[la Société / l’Associé]</w:t>
      </w:r>
      <w:r>
        <w:rPr>
          <w:rFonts w:ascii="Calibri" w:hAnsi="Calibri" w:eastAsia="Calibri"/>
          <w:sz w:val="22"/>
        </w:rPr>
        <w:t>.</w:t>
      </w:r>
    </w:p>
    <w:p>
      <w:pPr>
        <w:spacing w:after="80"/>
      </w:pPr>
    </w:p>
    <w:p>
      <w:pPr>
        <w:spacing w:after="80" w:before="0"/>
      </w:pPr>
      <w:r>
        <w:rPr>
          <w:rFonts w:ascii="Calibri" w:hAnsi="Calibri" w:eastAsia="Calibri"/>
          <w:b/>
          <w:sz w:val="22"/>
        </w:rPr>
        <w:t>Article 10 — Droit applicable et litiges</w:t>
      </w:r>
    </w:p>
    <w:p>
      <w:pPr>
        <w:spacing w:after="120" w:before="0"/>
        <w:jc w:val="both"/>
      </w:pPr>
      <w:r>
        <w:rPr>
          <w:rFonts w:ascii="Calibri" w:hAnsi="Calibri" w:eastAsia="Calibri"/>
          <w:sz w:val="22"/>
        </w:rPr>
        <w:t>La présente convention est soumise au droit français. Les parties s’efforceront de régler à l’amiable toute difficulté relative à son interprétation ou à son exécution avant de saisir la juridiction compétente.</w:t>
      </w:r>
    </w:p>
    <w:p>
      <w:pPr>
        <w:spacing w:after="80"/>
      </w:pPr>
    </w:p>
    <w:p>
      <w:pPr>
        <w:spacing w:after="200" w:before="0"/>
        <w:jc w:val="both"/>
      </w:pPr>
      <w:r>
        <w:rPr>
          <w:rFonts w:ascii="Calibri" w:hAnsi="Calibri" w:eastAsia="Calibri"/>
          <w:sz w:val="22"/>
        </w:rPr>
        <w:t xml:space="preserve">Fait à </w:t>
      </w:r>
      <w:r>
        <w:rPr>
          <w:rFonts w:ascii="Calibri" w:hAnsi="Calibri" w:eastAsia="Calibri"/>
          <w:sz w:val="22"/>
          <w:highlight w:val="yellow"/>
        </w:rPr>
        <w:t>[lieu]</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en deux exemplaires originaux, dont un pour chaque partie.</w:t>
      </w:r>
    </w:p>
    <w:tbl>
      <w:tblPr>
        <w:tblStyle w:val="TableGrid"/>
        <w:tblW w:type="auto" w:w="0"/>
        <w:jc w:val="center"/>
        <w:tblLayout w:type="fixed"/>
        <w:tblLook w:firstColumn="1" w:firstRow="1" w:lastColumn="0" w:lastRow="0" w:noHBand="0" w:noVBand="1" w:val="04A0"/>
      </w:tblPr>
      <w:tblGrid>
        <w:gridCol w:w="4677"/>
        <w:gridCol w:w="4677"/>
      </w:tblGrid>
      <w:tr>
        <w:tc>
          <w:tcPr>
            <w:tcW w:type="dxa" w:w="4677"/>
            <w:shd w:val="clear" w:color="auto" w:fill="EEF1F4"/>
          </w:tcPr>
          <w:p>
            <w:pPr>
              <w:spacing w:after="20" w:before="0"/>
            </w:pPr>
            <w:r>
              <w:rPr>
                <w:rFonts w:ascii="Calibri" w:hAnsi="Calibri" w:eastAsia="Calibri"/>
                <w:b/>
                <w:sz w:val="19"/>
              </w:rPr>
              <w:t>Pour la Société</w:t>
            </w:r>
          </w:p>
        </w:tc>
        <w:tc>
          <w:tcPr>
            <w:tcW w:type="dxa" w:w="4677"/>
            <w:shd w:val="clear" w:color="auto" w:fill="EEF1F4"/>
          </w:tcPr>
          <w:p>
            <w:pPr>
              <w:spacing w:after="20" w:before="0"/>
            </w:pPr>
            <w:r>
              <w:rPr>
                <w:rFonts w:ascii="Calibri" w:hAnsi="Calibri" w:eastAsia="Calibri"/>
                <w:b/>
                <w:sz w:val="19"/>
              </w:rPr>
              <w:t>L’Associé</w:t>
            </w:r>
          </w:p>
        </w:tc>
      </w:tr>
      <w:tr>
        <w:tc>
          <w:tcPr>
            <w:tcW w:type="dxa" w:w="4677"/>
          </w:tcPr>
          <w:p>
            <w:pPr>
              <w:spacing w:after="20" w:before="0"/>
            </w:pPr>
            <w:r>
              <w:rPr>
                <w:rFonts w:ascii="Calibri" w:hAnsi="Calibri" w:eastAsia="Calibri"/>
                <w:sz w:val="19"/>
              </w:rPr>
              <w:br/>
              <w:br/>
              <w:br/>
            </w:r>
            <w:r>
              <w:rPr>
                <w:rFonts w:ascii="Calibri" w:hAnsi="Calibri" w:eastAsia="Calibri"/>
                <w:sz w:val="19"/>
                <w:highlight w:val="yellow"/>
              </w:rPr>
              <w:t>[Prénom NOM — qualité — signature]</w:t>
            </w:r>
          </w:p>
        </w:tc>
        <w:tc>
          <w:tcPr>
            <w:tcW w:type="dxa" w:w="4677"/>
          </w:tcPr>
          <w:p>
            <w:pPr>
              <w:spacing w:after="20" w:before="0"/>
            </w:pPr>
            <w:r>
              <w:rPr>
                <w:rFonts w:ascii="Calibri" w:hAnsi="Calibri" w:eastAsia="Calibri"/>
                <w:sz w:val="19"/>
              </w:rPr>
              <w:br/>
              <w:br/>
              <w:br/>
            </w:r>
            <w:r>
              <w:rPr>
                <w:rFonts w:ascii="Calibri" w:hAnsi="Calibri" w:eastAsia="Calibri"/>
                <w:sz w:val="19"/>
                <w:highlight w:val="yellow"/>
              </w:rPr>
              <w:t>[Prénom NOM — signature]</w:t>
            </w:r>
          </w:p>
        </w:tc>
      </w:tr>
    </w:tbl>
    <w:p>
      <w:pPr>
        <w:spacing w:after="120"/>
      </w:pPr>
    </w:p>
    <w:p>
      <w:r>
        <w:br w:type="page"/>
      </w:r>
    </w:p>
    <w:p>
      <w:pPr>
        <w:spacing w:after="200" w:before="0"/>
        <w:jc w:val="center"/>
      </w:pPr>
      <w:r>
        <w:rPr>
          <w:rFonts w:ascii="Calibri" w:hAnsi="Calibri" w:eastAsia="Calibri"/>
          <w:b/>
          <w:sz w:val="24"/>
        </w:rPr>
        <w:t>ANNEXE — TABLEAU DE SUIVI DU COMPTE COURANT</w:t>
      </w:r>
    </w:p>
    <w:tbl>
      <w:tblPr>
        <w:tblStyle w:val="TableGrid"/>
        <w:tblW w:type="auto" w:w="0"/>
        <w:jc w:val="center"/>
        <w:tblLayout w:type="fixed"/>
        <w:tblLook w:firstColumn="1" w:firstRow="1" w:lastColumn="0" w:lastRow="0" w:noHBand="0" w:noVBand="1" w:val="04A0"/>
      </w:tblPr>
      <w:tblGrid>
        <w:gridCol w:w="1474"/>
        <w:gridCol w:w="3742"/>
        <w:gridCol w:w="1474"/>
        <w:gridCol w:w="1474"/>
        <w:gridCol w:w="1191"/>
      </w:tblGrid>
      <w:tr>
        <w:tc>
          <w:tcPr>
            <w:tcW w:type="dxa" w:w="1474"/>
            <w:shd w:val="clear" w:color="auto" w:fill="EEF1F4"/>
          </w:tcPr>
          <w:p>
            <w:pPr>
              <w:spacing w:after="20" w:before="0"/>
            </w:pPr>
            <w:r>
              <w:rPr>
                <w:rFonts w:ascii="Calibri" w:hAnsi="Calibri" w:eastAsia="Calibri"/>
                <w:b/>
                <w:sz w:val="19"/>
              </w:rPr>
              <w:t>Date</w:t>
            </w:r>
          </w:p>
        </w:tc>
        <w:tc>
          <w:tcPr>
            <w:tcW w:type="dxa" w:w="3742"/>
            <w:shd w:val="clear" w:color="auto" w:fill="EEF1F4"/>
          </w:tcPr>
          <w:p>
            <w:pPr>
              <w:spacing w:after="20" w:before="0"/>
            </w:pPr>
            <w:r>
              <w:rPr>
                <w:rFonts w:ascii="Calibri" w:hAnsi="Calibri" w:eastAsia="Calibri"/>
                <w:b/>
                <w:sz w:val="19"/>
              </w:rPr>
              <w:t>Opération (versement, remboursement, intérêts)</w:t>
            </w:r>
          </w:p>
        </w:tc>
        <w:tc>
          <w:tcPr>
            <w:tcW w:type="dxa" w:w="1474"/>
            <w:shd w:val="clear" w:color="auto" w:fill="EEF1F4"/>
          </w:tcPr>
          <w:p>
            <w:pPr>
              <w:spacing w:after="20" w:before="0"/>
            </w:pPr>
            <w:r>
              <w:rPr>
                <w:rFonts w:ascii="Calibri" w:hAnsi="Calibri" w:eastAsia="Calibri"/>
                <w:b/>
                <w:sz w:val="19"/>
              </w:rPr>
              <w:t>Montant</w:t>
            </w:r>
          </w:p>
        </w:tc>
        <w:tc>
          <w:tcPr>
            <w:tcW w:type="dxa" w:w="1474"/>
            <w:shd w:val="clear" w:color="auto" w:fill="EEF1F4"/>
          </w:tcPr>
          <w:p>
            <w:pPr>
              <w:spacing w:after="20" w:before="0"/>
            </w:pPr>
            <w:r>
              <w:rPr>
                <w:rFonts w:ascii="Calibri" w:hAnsi="Calibri" w:eastAsia="Calibri"/>
                <w:b/>
                <w:sz w:val="19"/>
              </w:rPr>
              <w:t>Solde</w:t>
            </w:r>
          </w:p>
        </w:tc>
        <w:tc>
          <w:tcPr>
            <w:tcW w:type="dxa" w:w="1191"/>
            <w:shd w:val="clear" w:color="auto" w:fill="EEF1F4"/>
          </w:tcPr>
          <w:p>
            <w:pPr>
              <w:spacing w:after="20" w:before="0"/>
            </w:pPr>
            <w:r>
              <w:rPr>
                <w:rFonts w:ascii="Calibri" w:hAnsi="Calibri" w:eastAsia="Calibri"/>
                <w:b/>
                <w:sz w:val="19"/>
              </w:rPr>
              <w:t>Visa</w:t>
            </w:r>
          </w:p>
        </w:tc>
      </w:tr>
      <w:tr>
        <w:tc>
          <w:tcPr>
            <w:tcW w:type="dxa" w:w="1474"/>
          </w:tcPr>
          <w:p>
            <w:pPr>
              <w:spacing w:after="20" w:before="0"/>
            </w:pPr>
            <w:r>
              <w:rPr>
                <w:rFonts w:ascii="Calibri" w:hAnsi="Calibri" w:eastAsia="Calibri"/>
                <w:sz w:val="19"/>
                <w:highlight w:val="yellow"/>
              </w:rPr>
              <w:t>[…]</w:t>
            </w:r>
          </w:p>
        </w:tc>
        <w:tc>
          <w:tcPr>
            <w:tcW w:type="dxa" w:w="3742"/>
          </w:tcPr>
          <w:p>
            <w:pPr>
              <w:spacing w:after="20" w:before="0"/>
            </w:pPr>
            <w:r>
              <w:rPr>
                <w:rFonts w:ascii="Calibri" w:hAnsi="Calibri" w:eastAsia="Calibri"/>
                <w:sz w:val="19"/>
              </w:rPr>
              <w:t>Versement initial (article 1)</w:t>
            </w:r>
          </w:p>
        </w:tc>
        <w:tc>
          <w:tcPr>
            <w:tcW w:type="dxa" w:w="1474"/>
          </w:tcPr>
          <w:p>
            <w:pPr>
              <w:spacing w:after="20" w:before="0"/>
            </w:pPr>
            <w:r>
              <w:rPr>
                <w:rFonts w:ascii="Calibri" w:hAnsi="Calibri" w:eastAsia="Calibri"/>
                <w:sz w:val="19"/>
                <w:highlight w:val="yellow"/>
              </w:rPr>
              <w:t>[…] €</w:t>
            </w:r>
          </w:p>
        </w:tc>
        <w:tc>
          <w:tcPr>
            <w:tcW w:type="dxa" w:w="1474"/>
          </w:tcPr>
          <w:p>
            <w:pPr>
              <w:spacing w:after="20" w:before="0"/>
            </w:pPr>
            <w:r>
              <w:rPr>
                <w:rFonts w:ascii="Calibri" w:hAnsi="Calibri" w:eastAsia="Calibri"/>
                <w:sz w:val="19"/>
                <w:highlight w:val="yellow"/>
              </w:rPr>
              <w:t>[…] €</w:t>
            </w:r>
          </w:p>
        </w:tc>
        <w:tc>
          <w:tcPr>
            <w:tcW w:type="dxa" w:w="1191"/>
          </w:tcPr>
          <w:p>
            <w:pPr>
              <w:spacing w:after="20" w:before="0"/>
            </w:pPr>
            <w:r>
              <w:rPr>
                <w:rFonts w:ascii="Calibri" w:hAnsi="Calibri" w:eastAsia="Calibri"/>
                <w:sz w:val="19"/>
              </w:rPr>
            </w:r>
          </w:p>
        </w:tc>
      </w:tr>
      <w:tr>
        <w:tc>
          <w:tcPr>
            <w:tcW w:type="dxa" w:w="1474"/>
          </w:tcPr>
          <w:p>
            <w:pPr>
              <w:spacing w:after="20" w:before="0"/>
            </w:pPr>
            <w:r>
              <w:rPr>
                <w:rFonts w:ascii="Calibri" w:hAnsi="Calibri" w:eastAsia="Calibri"/>
                <w:sz w:val="19"/>
                <w:highlight w:val="yellow"/>
              </w:rPr>
              <w:t>[…]</w:t>
            </w:r>
          </w:p>
        </w:tc>
        <w:tc>
          <w:tcPr>
            <w:tcW w:type="dxa" w:w="3742"/>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 €</w:t>
            </w:r>
          </w:p>
        </w:tc>
        <w:tc>
          <w:tcPr>
            <w:tcW w:type="dxa" w:w="1474"/>
          </w:tcPr>
          <w:p>
            <w:pPr>
              <w:spacing w:after="20" w:before="0"/>
            </w:pPr>
            <w:r>
              <w:rPr>
                <w:rFonts w:ascii="Calibri" w:hAnsi="Calibri" w:eastAsia="Calibri"/>
                <w:sz w:val="19"/>
                <w:highlight w:val="yellow"/>
              </w:rPr>
              <w:t>[…] €</w:t>
            </w:r>
          </w:p>
        </w:tc>
        <w:tc>
          <w:tcPr>
            <w:tcW w:type="dxa" w:w="1191"/>
          </w:tcPr>
          <w:p>
            <w:pPr>
              <w:spacing w:after="20" w:before="0"/>
            </w:pPr>
            <w:r>
              <w:rPr>
                <w:rFonts w:ascii="Calibri" w:hAnsi="Calibri" w:eastAsia="Calibri"/>
                <w:sz w:val="19"/>
              </w:rPr>
            </w:r>
          </w:p>
        </w:tc>
      </w:tr>
      <w:tr>
        <w:tc>
          <w:tcPr>
            <w:tcW w:type="dxa" w:w="1474"/>
          </w:tcPr>
          <w:p>
            <w:pPr>
              <w:spacing w:after="20" w:before="0"/>
            </w:pPr>
            <w:r>
              <w:rPr>
                <w:rFonts w:ascii="Calibri" w:hAnsi="Calibri" w:eastAsia="Calibri"/>
                <w:sz w:val="19"/>
                <w:highlight w:val="yellow"/>
              </w:rPr>
              <w:t>[…]</w:t>
            </w:r>
          </w:p>
        </w:tc>
        <w:tc>
          <w:tcPr>
            <w:tcW w:type="dxa" w:w="3742"/>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 €</w:t>
            </w:r>
          </w:p>
        </w:tc>
        <w:tc>
          <w:tcPr>
            <w:tcW w:type="dxa" w:w="1474"/>
          </w:tcPr>
          <w:p>
            <w:pPr>
              <w:spacing w:after="20" w:before="0"/>
            </w:pPr>
            <w:r>
              <w:rPr>
                <w:rFonts w:ascii="Calibri" w:hAnsi="Calibri" w:eastAsia="Calibri"/>
                <w:sz w:val="19"/>
                <w:highlight w:val="yellow"/>
              </w:rPr>
              <w:t>[…] €</w:t>
            </w:r>
          </w:p>
        </w:tc>
        <w:tc>
          <w:tcPr>
            <w:tcW w:type="dxa" w:w="1191"/>
          </w:tcPr>
          <w:p>
            <w:pPr>
              <w:spacing w:after="20" w:before="0"/>
            </w:pPr>
            <w:r>
              <w:rPr>
                <w:rFonts w:ascii="Calibri" w:hAnsi="Calibri" w:eastAsia="Calibri"/>
                <w:sz w:val="19"/>
              </w:rPr>
            </w:r>
          </w:p>
        </w:tc>
      </w:tr>
      <w:tr>
        <w:tc>
          <w:tcPr>
            <w:tcW w:type="dxa" w:w="1474"/>
          </w:tcPr>
          <w:p>
            <w:pPr>
              <w:spacing w:after="20" w:before="0"/>
            </w:pPr>
            <w:r>
              <w:rPr>
                <w:rFonts w:ascii="Calibri" w:hAnsi="Calibri" w:eastAsia="Calibri"/>
                <w:sz w:val="19"/>
                <w:highlight w:val="yellow"/>
              </w:rPr>
              <w:t>[…]</w:t>
            </w:r>
          </w:p>
        </w:tc>
        <w:tc>
          <w:tcPr>
            <w:tcW w:type="dxa" w:w="3742"/>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 €</w:t>
            </w:r>
          </w:p>
        </w:tc>
        <w:tc>
          <w:tcPr>
            <w:tcW w:type="dxa" w:w="1474"/>
          </w:tcPr>
          <w:p>
            <w:pPr>
              <w:spacing w:after="20" w:before="0"/>
            </w:pPr>
            <w:r>
              <w:rPr>
                <w:rFonts w:ascii="Calibri" w:hAnsi="Calibri" w:eastAsia="Calibri"/>
                <w:sz w:val="19"/>
                <w:highlight w:val="yellow"/>
              </w:rPr>
              <w:t>[…] €</w:t>
            </w:r>
          </w:p>
        </w:tc>
        <w:tc>
          <w:tcPr>
            <w:tcW w:type="dxa" w:w="1191"/>
          </w:tcPr>
          <w:p>
            <w:pPr>
              <w:spacing w:after="20" w:before="0"/>
            </w:pPr>
            <w:r>
              <w:rPr>
                <w:rFonts w:ascii="Calibri" w:hAnsi="Calibri" w:eastAsia="Calibri"/>
                <w:sz w:val="19"/>
              </w:rPr>
            </w:r>
          </w:p>
        </w:tc>
      </w:tr>
      <w:tr>
        <w:tc>
          <w:tcPr>
            <w:tcW w:type="dxa" w:w="1474"/>
          </w:tcPr>
          <w:p>
            <w:pPr>
              <w:spacing w:after="20" w:before="0"/>
            </w:pPr>
            <w:r>
              <w:rPr>
                <w:rFonts w:ascii="Calibri" w:hAnsi="Calibri" w:eastAsia="Calibri"/>
                <w:sz w:val="19"/>
                <w:highlight w:val="yellow"/>
              </w:rPr>
              <w:t>[…]</w:t>
            </w:r>
          </w:p>
        </w:tc>
        <w:tc>
          <w:tcPr>
            <w:tcW w:type="dxa" w:w="3742"/>
          </w:tcPr>
          <w:p>
            <w:pPr>
              <w:spacing w:after="20" w:before="0"/>
            </w:pPr>
            <w:r>
              <w:rPr>
                <w:rFonts w:ascii="Calibri" w:hAnsi="Calibri" w:eastAsia="Calibri"/>
                <w:sz w:val="19"/>
                <w:highlight w:val="yellow"/>
              </w:rPr>
              <w:t>[…]</w:t>
            </w:r>
          </w:p>
        </w:tc>
        <w:tc>
          <w:tcPr>
            <w:tcW w:type="dxa" w:w="1474"/>
          </w:tcPr>
          <w:p>
            <w:pPr>
              <w:spacing w:after="20" w:before="0"/>
            </w:pPr>
            <w:r>
              <w:rPr>
                <w:rFonts w:ascii="Calibri" w:hAnsi="Calibri" w:eastAsia="Calibri"/>
                <w:sz w:val="19"/>
                <w:highlight w:val="yellow"/>
              </w:rPr>
              <w:t>[…] €</w:t>
            </w:r>
          </w:p>
        </w:tc>
        <w:tc>
          <w:tcPr>
            <w:tcW w:type="dxa" w:w="1474"/>
          </w:tcPr>
          <w:p>
            <w:pPr>
              <w:spacing w:after="20" w:before="0"/>
            </w:pPr>
            <w:r>
              <w:rPr>
                <w:rFonts w:ascii="Calibri" w:hAnsi="Calibri" w:eastAsia="Calibri"/>
                <w:sz w:val="19"/>
                <w:highlight w:val="yellow"/>
              </w:rPr>
              <w:t>[…] €</w:t>
            </w:r>
          </w:p>
        </w:tc>
        <w:tc>
          <w:tcPr>
            <w:tcW w:type="dxa" w:w="1191"/>
          </w:tcPr>
          <w:p>
            <w:pPr>
              <w:spacing w:after="20" w:before="0"/>
            </w:pPr>
            <w:r>
              <w:rPr>
                <w:rFonts w:ascii="Calibri" w:hAnsi="Calibri" w:eastAsia="Calibri"/>
                <w:sz w:val="19"/>
              </w:rPr>
            </w:r>
          </w:p>
        </w:tc>
      </w:tr>
    </w:tbl>
    <w:p>
      <w:pPr>
        <w:spacing w:after="12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Les sommes reçues ou laissées en compte par les associés ou actionnaires, les gérants et les présidents de SAS ne sont pas considérées comme des fonds remboursables du public (C. mon. fin., art. L. 312-2) : une société peut donc recevoir des avances de ses associés sans être un établissement de crédit.</w:t>
      </w:r>
    </w:p>
    <w:p>
      <w:pPr>
        <w:spacing w:after="100" w:before="0"/>
        <w:jc w:val="both"/>
      </w:pPr>
      <w:r>
        <w:rPr>
          <w:rFonts w:ascii="Calibri" w:hAnsi="Calibri" w:eastAsia="Calibri"/>
          <w:color w:val="374151"/>
          <w:sz w:val="20"/>
        </w:rPr>
        <w:t>• Écrit : le taux de l’intérêt conventionnel doit être fixé par écrit ; il est réputé annuel par défaut (C. civ., art. 1907 et 1343-1). La capitalisation des intérêts échus dus pour une année entière suppose une stipulation du contrat (C. civ., art. 1343-2). Indiquez le montant en lettres et en chiffres.</w:t>
      </w:r>
    </w:p>
    <w:p>
      <w:pPr>
        <w:spacing w:after="100" w:before="0"/>
        <w:jc w:val="both"/>
      </w:pPr>
      <w:r>
        <w:rPr>
          <w:rFonts w:ascii="Calibri" w:hAnsi="Calibri" w:eastAsia="Calibri"/>
          <w:color w:val="374151"/>
          <w:sz w:val="20"/>
        </w:rPr>
        <w:t>• Conventions réglementées : une convention entre la société et l’un de ses associés ou gérants relève, dans une SARL, de l’article L. 223-19 (rapport, vote des associés sans l’intéressé) et, dans une SAS, de l’article L. 227-10 lorsqu’elle est conclue avec le Président, un dirigeant ou un associé disposant de plus de 10 % des droits de vote. Dans une EURL ou une SASU, la convention conclue avec l’associé unique est seulement mentionnée au registre des décisions (art. L. 223-19, al. 3, et L. 227-10, al. 4). Les opérations courantes conclues à des conditions normales sont exclues (art. L. 223-20 et L. 227-11) : la qualification d’une avance rémunérée doit s’apprécier au cas par cas. Pour une SCI, reportez-vous aux statuts.</w:t>
      </w:r>
    </w:p>
    <w:p>
      <w:pPr>
        <w:spacing w:after="100" w:before="0"/>
        <w:jc w:val="both"/>
      </w:pPr>
      <w:r>
        <w:rPr>
          <w:rFonts w:ascii="Calibri" w:hAnsi="Calibri" w:eastAsia="Calibri"/>
          <w:color w:val="374151"/>
          <w:sz w:val="20"/>
        </w:rPr>
        <w:t>• Interdiction du découvert : dans une SARL, il est interdit, à peine de nullité du contrat, aux gérants et aux associés autres que les personnes morales, ainsi qu’aux représentants légaux des personnes morales associées, à leurs conjoint, ascendants et descendants et à toute personne interposée, de se faire consentir par la société un découvert, en compte courant ou autrement (art. L. 223-21). Dans une SAS, une interdiction comparable vise le Président et les dirigeants (art. L. 227-12, renvoyant à l’art. L. 225-43). D’où la clause de l’article 2 interdisant tout solde débiteur.</w:t>
      </w:r>
    </w:p>
    <w:p>
      <w:pPr>
        <w:spacing w:after="100" w:before="0"/>
        <w:jc w:val="both"/>
      </w:pPr>
      <w:r>
        <w:rPr>
          <w:rFonts w:ascii="Calibri" w:hAnsi="Calibri" w:eastAsia="Calibri"/>
          <w:color w:val="374151"/>
          <w:sz w:val="20"/>
        </w:rPr>
        <w:t>• Déductibilité des intérêts pour une société soumise à l’impôt sur les sociétés ou dont le résultat relève des bénéfices industriels et commerciaux : les intérêts servis aux associés sont déductibles dans la limite d’un taux égal à la moyenne annuelle des taux effectifs moyens pratiqués par les établissements de crédit et les sociétés de financement pour des prêts à taux variable aux entreprises d’une durée initiale supérieure à deux ans, et à condition que le capital soit entièrement libéré (CGI, art. 39, 1, 3°). Entre entreprises associées ou liées, l’article 212 du CGI permet aussi de retenir le taux qu’aurait obtenu la société emprunteuse auprès d’établissements indépendants. Ce taux varie chaque année : demandez-le à votre comptable avant de fixer la rémunération. Pour une SCI non soumise à l’impôt sur les sociétés, interrogez votre comptable sur le traitement des intérêts.</w:t>
      </w:r>
    </w:p>
    <w:p>
      <w:pPr>
        <w:spacing w:after="100" w:before="0"/>
        <w:jc w:val="both"/>
      </w:pPr>
      <w:r>
        <w:rPr>
          <w:rFonts w:ascii="Calibri" w:hAnsi="Calibri" w:eastAsia="Calibri"/>
          <w:color w:val="374151"/>
          <w:sz w:val="20"/>
        </w:rPr>
        <w:t>• Intérêts versés à un associé personne physique fiscalement domiciliée en France : c’est la Société, débiteur et payeur établi en France, qui opère le prélèvement de l’article 125 A du CGI sur le montant brut des intérêts de comptes courants (taux de 12,8 %, III bis). Ce prélèvement n’est pas libératoire : il s’impute sur l’impôt sur le revenu de l’Associé dû au titre de l’année où il a été opéré (V, 1). L’Associé dont le foyer fiscal a un revenu fiscal de référence de l’avant-dernière année inférieur à 25 000 € (célibataire, divorcé ou veuf) ou à 50 000 € (imposition commune) peut demander à en être dispensé dans les conditions de l’article 242 quater. Confiez les déclarations, le versement et la question des prélèvements sociaux à votre comptable ; l’imposition définitive des intérêts dépend ensuite de la situation personnelle de l’Associé.</w:t>
      </w:r>
    </w:p>
    <w:p>
      <w:pPr>
        <w:spacing w:after="100" w:before="0"/>
        <w:jc w:val="both"/>
      </w:pPr>
      <w:r>
        <w:rPr>
          <w:rFonts w:ascii="Calibri" w:hAnsi="Calibri" w:eastAsia="Calibri"/>
          <w:color w:val="374151"/>
          <w:sz w:val="20"/>
        </w:rPr>
        <w:t>• Usure : l’exclusion prévue pour les prêts aux personnes morales se livrant à une activité industrielle, commerciale, artisanale, agricole ou professionnelle non commerciale (C. consom., art. L. 314-9) ne joue pas pour une société qui n’exerce pas une telle activité, ce qui peut être le cas d’une SCI de gestion patrimoniale : le taux effectif global de l’avance ne doit alors pas excéder le seuil de l’usure (art. L. 314-6). Renseignez-vous sur le seuil publié au moment de la signature.</w:t>
      </w:r>
    </w:p>
    <w:p>
      <w:pPr>
        <w:spacing w:after="100" w:before="0"/>
        <w:jc w:val="both"/>
      </w:pPr>
      <w:r>
        <w:rPr>
          <w:rFonts w:ascii="Calibri" w:hAnsi="Calibri" w:eastAsia="Calibri"/>
          <w:color w:val="374151"/>
          <w:sz w:val="20"/>
        </w:rPr>
        <w:t>• Si une banque finance la société, elle peut exiger le blocage du compte courant ou la subordination de son remboursement : assurez-vous que l’article 4 est cohérent avec ces engagements.</w:t>
      </w:r>
    </w:p>
    <w:p>
      <w:pPr>
        <w:spacing w:after="100" w:before="0"/>
        <w:jc w:val="both"/>
      </w:pPr>
      <w:r>
        <w:rPr>
          <w:rFonts w:ascii="Calibri" w:hAnsi="Calibri" w:eastAsia="Calibri"/>
          <w:color w:val="374151"/>
          <w:sz w:val="20"/>
        </w:rPr>
        <w:t>• Tenez à jour le tableau de suivi en annexe et rapprochez-le chaque année du solde comptable.</w:t>
      </w:r>
    </w:p>
    <w:p>
      <w:pPr>
        <w:spacing w:after="100" w:before="0"/>
        <w:jc w:val="both"/>
      </w:pPr>
      <w:r>
        <w:rPr>
          <w:rFonts w:ascii="Calibri" w:hAnsi="Calibri" w:eastAsia="Calibri"/>
          <w:color w:val="374151"/>
          <w:sz w:val="20"/>
        </w:rPr>
        <w:t>• Supprimez l’en-tête « Modèle fourni à titre informatif… », les surlignages, les options inutiles et la présente page avant signature. Conservez l’original signé dans les registres de la société.</w:t>
      </w:r>
    </w:p>
    <w:p>
      <w:pPr>
        <w:spacing w:after="100" w:before="0"/>
        <w:jc w:val="both"/>
      </w:pPr>
      <w:r>
        <w:rPr>
          <w:rFonts w:ascii="Calibri" w:hAnsi="Calibri" w:eastAsia="Calibri"/>
          <w:color w:val="374151"/>
          <w:sz w:val="20"/>
        </w:rPr>
        <w:t>• Ce modèle est une base de travail : faites relire le document par un avocat avant signature, en particulier en cas de désaccord entre associés, d’opération inhabituelle ou de doute sur une clause des statuts.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compte courant d’associé</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