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Calibri" w:hAnsi="Calibri" w:eastAsia="Calibri"/>
          <w:b/>
          <w:sz w:val="26"/>
        </w:rPr>
        <w:t>CHECK-LIST — PIÈCES UTILES POUR UNE CONSULTATION</w:t>
      </w:r>
    </w:p>
    <w:p>
      <w:pPr>
        <w:spacing w:after="200" w:before="0"/>
        <w:jc w:val="center"/>
      </w:pPr>
      <w:r>
        <w:rPr>
          <w:rFonts w:ascii="Calibri" w:hAnsi="Calibri" w:eastAsia="Calibri"/>
          <w:b/>
          <w:sz w:val="22"/>
        </w:rPr>
        <w:t>Cabinet Gasimov — Avocat à Strasbourg</w:t>
      </w:r>
    </w:p>
    <w:p>
      <w:pPr>
        <w:spacing w:after="280" w:before="0"/>
      </w:pPr>
      <w:r>
        <w:rPr>
          <w:rFonts w:ascii="Calibri" w:hAnsi="Calibri" w:eastAsia="Calibri"/>
          <w:i/>
          <w:sz w:val="22"/>
        </w:rPr>
        <w:t>Document pratique, non exhaustif. Adaptez la liste à votre situation ; n’envoyez que des copies sauf demande contraire.</w:t>
      </w: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>1. Votre identité et vos coordonnées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Pièce d’identité en cours de validité (carte nationale d’identité, passeport, titre de séjour…)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Justificatif de domicile récent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Coordonnées téléphoniques et adresse électronique où vous joindre facilement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Le cas échéant : livret de famille, acte de naissance, jugement de tutelle / curatelle</w:t>
      </w:r>
    </w:p>
    <w:p>
      <w:pPr>
        <w:spacing w:after="120"/>
      </w:pP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>2. Le calendrier de votre affaire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Chronologie datée des faits (même manuscrite) : qui, quoi, quand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Tous les courriers reçus de l’administration, de la partie adverse, d’un assureur, d’un huissier / commissaire de justice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Preuves d’envoi et de réception (recommandés, accusés de réception, captures d’écran de dépôt en ligne)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Décisions déjà rendues (jugements, ordonnances, arrêtés, avis de taxe, OQTF, licenciement…)</w:t>
      </w:r>
    </w:p>
    <w:p>
      <w:pPr>
        <w:spacing w:after="120"/>
      </w:pPr>
    </w:p>
    <w:p>
      <w:pPr>
        <w:spacing w:after="160" w:before="0"/>
      </w:pPr>
      <w:r>
        <w:rPr>
          <w:rFonts w:ascii="Calibri" w:hAnsi="Calibri" w:eastAsia="Calibri"/>
          <w:b/>
          <w:sz w:val="22"/>
        </w:rPr>
        <w:t>3. Selon le type de dossier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Droit des étrangers / asile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Convocation ou décision préfectorale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Récépissé, titre, attestation de demande d’asile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Passeport, visa, actes d’état civil étrangers (avec traduction si besoin)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Preuves de présence en France, de liens familiaux, de scolarisation des enfants</w:t>
      </w:r>
    </w:p>
    <w:p>
      <w:pPr>
        <w:spacing w:after="80"/>
      </w:pP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Droit administratif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Décision attaquée (arrêté, refus, mise en demeure…)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Recours gracieux ou hiérarchique déjà formés et réponses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Dossier complet ayant servi à la demande initiale</w:t>
      </w:r>
    </w:p>
    <w:p>
      <w:pPr>
        <w:spacing w:after="80"/>
      </w:pP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Droit pénal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Convocation, procès-verbal, ordonnance pénale, jugement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Coordonnées de l’avocat commis d’office éventuel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Attestations, factures, certificats médicaux</w:t>
      </w:r>
    </w:p>
    <w:p>
      <w:pPr>
        <w:spacing w:after="80"/>
      </w:pP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Travail / social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Contrat de travail, avenants, bulletins de paie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Lettre de licenciement / rupture, entretiens préalables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Échanges avec l’employeur, l’inspection du travail, la médecine du travail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Courriers et décomptes de France Travail (ex-Pôle emploi), arrêts de travail</w:t>
      </w:r>
    </w:p>
    <w:p>
      <w:pPr>
        <w:spacing w:after="80"/>
      </w:pP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Famille / civil / affaires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Contrats, factures, devis, mises en demeure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Statuts, Kbis, PV d’assemblée (sociétés)</w:t>
      </w:r>
    </w:p>
    <w:p>
      <w:pPr>
        <w:spacing w:after="6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Justificatifs de revenus et de charges (pension alimentaire, divorce, logement)</w:t>
      </w:r>
    </w:p>
    <w:p>
      <w:pPr>
        <w:spacing w:after="160"/>
      </w:pP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>4. Avant le rendez-vous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Liste de questions classées par priorité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Budget et contraintes de délai que vous souhaitez signaler</w:t>
      </w:r>
    </w:p>
    <w:p>
      <w:pPr>
        <w:spacing w:after="80" w:before="0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Accord pour transmettre les pièces par un canal sécurisé indiqué par le cabinet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N’apportez en principe que des copies ; conservez les originaux en lieu sûr.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Ne transmettez pas de documents inutiles contenant des données sensibles hors sujet (numéros de carte bancaire, dossiers médicaux non liés, etc.).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Si un délai de recours court, contactez le cabinet sans attendre d’avoir réuni 100 % des pièces.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Cette liste est indicative et ne remplace pas les demandes précises formulées lors de la prise de rendez-vous.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informatif et la présente page si vous imprimez uniquement la check-list.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des pièces pour une consultation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